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1C29" w14:textId="77777777" w:rsidR="004E5371" w:rsidRPr="009E05F6" w:rsidRDefault="004E5371" w:rsidP="004E5371">
      <w:pPr>
        <w:jc w:val="both"/>
        <w:rPr>
          <w:bCs/>
          <w:sz w:val="22"/>
          <w:szCs w:val="22"/>
          <w:lang w:val="is-IS"/>
        </w:rPr>
      </w:pPr>
    </w:p>
    <w:p w14:paraId="020B591E" w14:textId="77777777" w:rsidR="004E5371" w:rsidRPr="009E05F6" w:rsidRDefault="004E5371" w:rsidP="004E5371">
      <w:pPr>
        <w:pStyle w:val="Heading2"/>
        <w:keepNext w:val="0"/>
        <w:jc w:val="center"/>
        <w:rPr>
          <w:szCs w:val="22"/>
          <w:lang w:val="is-IS"/>
        </w:rPr>
      </w:pPr>
      <w:r w:rsidRPr="009E05F6">
        <w:rPr>
          <w:szCs w:val="22"/>
          <w:lang w:val="is-IS"/>
        </w:rPr>
        <w:t>VIÐAUKI I</w:t>
      </w:r>
    </w:p>
    <w:p w14:paraId="08669012" w14:textId="77777777" w:rsidR="004E5371" w:rsidRPr="009E05F6" w:rsidRDefault="004E5371" w:rsidP="004E5371">
      <w:pPr>
        <w:pStyle w:val="EndnoteText"/>
        <w:tabs>
          <w:tab w:val="clear" w:pos="567"/>
        </w:tabs>
        <w:jc w:val="center"/>
        <w:outlineLvl w:val="0"/>
        <w:rPr>
          <w:bCs/>
          <w:szCs w:val="22"/>
          <w:lang w:val="is-IS"/>
        </w:rPr>
      </w:pPr>
    </w:p>
    <w:p w14:paraId="61B1B08C" w14:textId="77777777" w:rsidR="004E5371" w:rsidRPr="009E05F6" w:rsidRDefault="004E5371" w:rsidP="004E5371">
      <w:pPr>
        <w:pStyle w:val="BodyTextIndent"/>
        <w:ind w:left="0"/>
        <w:jc w:val="center"/>
        <w:rPr>
          <w:szCs w:val="22"/>
          <w:lang w:val="is-IS"/>
        </w:rPr>
      </w:pPr>
      <w:r w:rsidRPr="009E05F6">
        <w:rPr>
          <w:szCs w:val="22"/>
          <w:lang w:val="is-IS"/>
        </w:rPr>
        <w:t>SAMANTEKT Á EIGINLEIKUM LYFS</w:t>
      </w:r>
    </w:p>
    <w:p w14:paraId="78CEC98E" w14:textId="77777777" w:rsidR="004E5371" w:rsidRDefault="004E5371" w:rsidP="004E5371">
      <w:pPr>
        <w:rPr>
          <w:b/>
          <w:sz w:val="22"/>
          <w:szCs w:val="22"/>
          <w:lang w:val="is-IS"/>
        </w:rPr>
      </w:pPr>
    </w:p>
    <w:p w14:paraId="30175448" w14:textId="77777777" w:rsidR="004E5371" w:rsidRDefault="004E5371" w:rsidP="004E5371">
      <w:pPr>
        <w:rPr>
          <w:b/>
          <w:sz w:val="22"/>
          <w:szCs w:val="22"/>
          <w:lang w:val="is-IS"/>
        </w:rPr>
      </w:pPr>
    </w:p>
    <w:p w14:paraId="0A092633" w14:textId="77777777" w:rsidR="004E5371" w:rsidRDefault="004E5371" w:rsidP="004E5371">
      <w:pPr>
        <w:rPr>
          <w:b/>
          <w:sz w:val="22"/>
          <w:szCs w:val="22"/>
          <w:lang w:val="is-IS"/>
        </w:rPr>
      </w:pPr>
    </w:p>
    <w:p w14:paraId="1C0B366A" w14:textId="77777777" w:rsidR="004E5371" w:rsidRDefault="004E5371" w:rsidP="004E5371">
      <w:pPr>
        <w:rPr>
          <w:b/>
          <w:sz w:val="22"/>
          <w:szCs w:val="22"/>
          <w:lang w:val="is-IS"/>
        </w:rPr>
      </w:pPr>
    </w:p>
    <w:p w14:paraId="753349B6" w14:textId="77777777" w:rsidR="004E5371" w:rsidRDefault="004E5371" w:rsidP="004E5371">
      <w:pPr>
        <w:rPr>
          <w:b/>
          <w:sz w:val="22"/>
          <w:szCs w:val="22"/>
          <w:lang w:val="is-IS"/>
        </w:rPr>
      </w:pPr>
    </w:p>
    <w:p w14:paraId="4B9FB6B7" w14:textId="77777777" w:rsidR="004E5371" w:rsidRPr="009E05F6" w:rsidRDefault="004E5371" w:rsidP="004E5371">
      <w:pPr>
        <w:rPr>
          <w:b/>
          <w:sz w:val="22"/>
          <w:szCs w:val="22"/>
          <w:lang w:val="is-IS"/>
        </w:rPr>
      </w:pPr>
      <w:r w:rsidRPr="009E05F6">
        <w:rPr>
          <w:b/>
          <w:sz w:val="22"/>
          <w:szCs w:val="22"/>
          <w:lang w:val="is-IS"/>
        </w:rPr>
        <w:t>1.</w:t>
      </w:r>
      <w:r w:rsidRPr="009E05F6">
        <w:rPr>
          <w:b/>
          <w:sz w:val="22"/>
          <w:szCs w:val="22"/>
          <w:lang w:val="is-IS"/>
        </w:rPr>
        <w:tab/>
        <w:t>HEITI DÝRALYFS</w:t>
      </w:r>
      <w:bookmarkStart w:id="0" w:name="_GoBack"/>
      <w:bookmarkEnd w:id="0"/>
    </w:p>
    <w:p w14:paraId="49315E06" w14:textId="77777777" w:rsidR="004E5371" w:rsidRPr="009E05F6" w:rsidRDefault="004E5371" w:rsidP="004E5371">
      <w:pPr>
        <w:rPr>
          <w:sz w:val="22"/>
          <w:szCs w:val="22"/>
          <w:lang w:val="is-IS"/>
        </w:rPr>
      </w:pPr>
    </w:p>
    <w:p w14:paraId="05F0FA54" w14:textId="77777777" w:rsidR="004E5371" w:rsidRPr="009E05F6" w:rsidRDefault="004E5371" w:rsidP="004E5371">
      <w:pPr>
        <w:rPr>
          <w:sz w:val="22"/>
          <w:szCs w:val="22"/>
          <w:lang w:val="is-IS"/>
        </w:rPr>
      </w:pPr>
      <w:r w:rsidRPr="009E05F6">
        <w:rPr>
          <w:sz w:val="22"/>
          <w:szCs w:val="22"/>
          <w:lang w:val="is-IS"/>
        </w:rPr>
        <w:t>Meloxoral 0,5 mg/ml mixtúra, dreifa handa köttum.</w:t>
      </w:r>
    </w:p>
    <w:p w14:paraId="08C01C72" w14:textId="77777777" w:rsidR="004E5371" w:rsidRPr="009E05F6" w:rsidRDefault="004E5371" w:rsidP="004E5371">
      <w:pPr>
        <w:rPr>
          <w:sz w:val="22"/>
          <w:szCs w:val="22"/>
          <w:lang w:val="is-IS"/>
        </w:rPr>
      </w:pPr>
    </w:p>
    <w:p w14:paraId="4D0FF02B" w14:textId="77777777" w:rsidR="004E5371" w:rsidRPr="009E05F6" w:rsidRDefault="004E5371" w:rsidP="004E5371">
      <w:pPr>
        <w:rPr>
          <w:sz w:val="22"/>
          <w:szCs w:val="22"/>
          <w:lang w:val="is-IS"/>
        </w:rPr>
      </w:pPr>
    </w:p>
    <w:p w14:paraId="777D88A5" w14:textId="77777777" w:rsidR="004E5371" w:rsidRPr="009E05F6" w:rsidRDefault="004E5371" w:rsidP="004E5371">
      <w:pPr>
        <w:rPr>
          <w:b/>
          <w:sz w:val="22"/>
          <w:szCs w:val="22"/>
          <w:lang w:val="is-IS"/>
        </w:rPr>
      </w:pPr>
      <w:r w:rsidRPr="009E05F6">
        <w:rPr>
          <w:b/>
          <w:sz w:val="22"/>
          <w:szCs w:val="22"/>
          <w:lang w:val="is-IS"/>
        </w:rPr>
        <w:t>2.</w:t>
      </w:r>
      <w:r w:rsidRPr="009E05F6">
        <w:rPr>
          <w:b/>
          <w:sz w:val="22"/>
          <w:szCs w:val="22"/>
          <w:lang w:val="is-IS"/>
        </w:rPr>
        <w:tab/>
      </w:r>
      <w:r w:rsidRPr="008E3489">
        <w:rPr>
          <w:b/>
          <w:bCs/>
          <w:sz w:val="22"/>
          <w:szCs w:val="22"/>
        </w:rPr>
        <w:t>INNIHALDSLÝSING</w:t>
      </w:r>
    </w:p>
    <w:p w14:paraId="25F018C8" w14:textId="77777777" w:rsidR="004E5371" w:rsidRPr="009E05F6" w:rsidRDefault="004E5371" w:rsidP="004E5371">
      <w:pPr>
        <w:rPr>
          <w:sz w:val="22"/>
          <w:szCs w:val="22"/>
          <w:lang w:val="is-IS"/>
        </w:rPr>
      </w:pPr>
    </w:p>
    <w:p w14:paraId="06F3676F" w14:textId="77777777" w:rsidR="004E5371" w:rsidRPr="009E05F6" w:rsidRDefault="004E5371" w:rsidP="004E5371">
      <w:pPr>
        <w:outlineLvl w:val="0"/>
        <w:rPr>
          <w:sz w:val="22"/>
          <w:szCs w:val="22"/>
          <w:lang w:val="is-IS"/>
        </w:rPr>
      </w:pPr>
      <w:r w:rsidRPr="009E05F6">
        <w:rPr>
          <w:sz w:val="22"/>
          <w:szCs w:val="22"/>
          <w:lang w:val="is-IS"/>
        </w:rPr>
        <w:t>Einn ml inniheldur:</w:t>
      </w:r>
    </w:p>
    <w:p w14:paraId="42D3B855" w14:textId="77777777" w:rsidR="004E5371" w:rsidRPr="009E05F6" w:rsidRDefault="004E5371" w:rsidP="004E5371">
      <w:pPr>
        <w:outlineLvl w:val="0"/>
        <w:rPr>
          <w:sz w:val="22"/>
          <w:szCs w:val="22"/>
          <w:lang w:val="is-IS"/>
        </w:rPr>
      </w:pPr>
    </w:p>
    <w:p w14:paraId="4F5378C2" w14:textId="77777777" w:rsidR="004E5371" w:rsidRPr="009E05F6" w:rsidRDefault="004E5371" w:rsidP="004E5371">
      <w:pPr>
        <w:pStyle w:val="Heading3"/>
        <w:keepNext w:val="0"/>
        <w:tabs>
          <w:tab w:val="clear" w:pos="-720"/>
          <w:tab w:val="clear" w:pos="4536"/>
        </w:tabs>
        <w:suppressAutoHyphens w:val="0"/>
        <w:rPr>
          <w:szCs w:val="22"/>
          <w:lang w:val="is-IS"/>
        </w:rPr>
      </w:pPr>
      <w:r w:rsidRPr="009E05F6">
        <w:rPr>
          <w:szCs w:val="22"/>
          <w:lang w:val="is-IS"/>
        </w:rPr>
        <w:t>Virk innihaldsefni:</w:t>
      </w:r>
    </w:p>
    <w:p w14:paraId="504C892F" w14:textId="77777777" w:rsidR="004E5371" w:rsidRDefault="004E5371" w:rsidP="004E5371">
      <w:pPr>
        <w:tabs>
          <w:tab w:val="left" w:pos="1985"/>
        </w:tabs>
        <w:rPr>
          <w:sz w:val="22"/>
          <w:szCs w:val="22"/>
          <w:lang w:val="is-IS"/>
        </w:rPr>
      </w:pPr>
    </w:p>
    <w:p w14:paraId="2337C0B2" w14:textId="77777777" w:rsidR="004E5371" w:rsidRPr="009E05F6" w:rsidRDefault="004E5371" w:rsidP="004E5371">
      <w:pPr>
        <w:tabs>
          <w:tab w:val="left" w:pos="1985"/>
        </w:tabs>
        <w:rPr>
          <w:sz w:val="22"/>
          <w:szCs w:val="22"/>
          <w:lang w:val="is-IS"/>
        </w:rPr>
      </w:pPr>
      <w:r w:rsidRPr="009E05F6">
        <w:rPr>
          <w:sz w:val="22"/>
          <w:szCs w:val="22"/>
          <w:lang w:val="is-IS"/>
        </w:rPr>
        <w:t xml:space="preserve">Meloxicam </w:t>
      </w:r>
      <w:r w:rsidRPr="009E05F6">
        <w:rPr>
          <w:sz w:val="22"/>
          <w:szCs w:val="22"/>
          <w:lang w:val="is-IS"/>
        </w:rPr>
        <w:tab/>
        <w:t>0,5 mg</w:t>
      </w:r>
    </w:p>
    <w:p w14:paraId="2CE8205E" w14:textId="77777777" w:rsidR="004E5371" w:rsidRPr="009E05F6" w:rsidRDefault="004E5371" w:rsidP="004E5371">
      <w:pPr>
        <w:rPr>
          <w:sz w:val="22"/>
          <w:szCs w:val="22"/>
          <w:lang w:val="is-IS"/>
        </w:rPr>
      </w:pPr>
    </w:p>
    <w:p w14:paraId="602E765C" w14:textId="77777777" w:rsidR="004E5371" w:rsidRPr="009E05F6" w:rsidRDefault="004E5371" w:rsidP="004E5371">
      <w:pPr>
        <w:outlineLvl w:val="0"/>
        <w:rPr>
          <w:sz w:val="22"/>
          <w:szCs w:val="22"/>
          <w:lang w:val="is-IS"/>
        </w:rPr>
      </w:pPr>
      <w:r w:rsidRPr="009E05F6">
        <w:rPr>
          <w:b/>
          <w:sz w:val="22"/>
          <w:szCs w:val="22"/>
          <w:lang w:val="is-IS"/>
        </w:rPr>
        <w:t>Hjálparefni:</w:t>
      </w:r>
    </w:p>
    <w:p w14:paraId="717F9ACF" w14:textId="77777777" w:rsidR="004E5371" w:rsidRDefault="004E5371" w:rsidP="004E5371">
      <w:pPr>
        <w:tabs>
          <w:tab w:val="left" w:pos="1985"/>
        </w:tabs>
        <w:rPr>
          <w:sz w:val="22"/>
          <w:szCs w:val="22"/>
          <w:lang w:val="is-IS"/>
        </w:rPr>
      </w:pPr>
    </w:p>
    <w:p w14:paraId="4762ECE9" w14:textId="77777777" w:rsidR="004E5371" w:rsidRPr="009E05F6" w:rsidRDefault="004E5371" w:rsidP="004E5371">
      <w:pPr>
        <w:tabs>
          <w:tab w:val="left" w:pos="1985"/>
        </w:tabs>
        <w:rPr>
          <w:sz w:val="22"/>
          <w:szCs w:val="22"/>
          <w:lang w:val="is-IS"/>
        </w:rPr>
      </w:pPr>
      <w:r w:rsidRPr="009E05F6">
        <w:rPr>
          <w:sz w:val="22"/>
          <w:szCs w:val="22"/>
          <w:lang w:val="is-IS"/>
        </w:rPr>
        <w:t xml:space="preserve">Natríumbenzoat </w:t>
      </w:r>
      <w:r w:rsidRPr="009E05F6">
        <w:rPr>
          <w:sz w:val="22"/>
          <w:szCs w:val="22"/>
          <w:lang w:val="is-IS"/>
        </w:rPr>
        <w:tab/>
        <w:t>1,75 mg</w:t>
      </w:r>
    </w:p>
    <w:p w14:paraId="39278E45" w14:textId="77777777" w:rsidR="004E5371" w:rsidRPr="009E05F6" w:rsidRDefault="004E5371" w:rsidP="004E5371">
      <w:pPr>
        <w:rPr>
          <w:sz w:val="22"/>
          <w:szCs w:val="22"/>
          <w:lang w:val="is-IS"/>
        </w:rPr>
      </w:pPr>
    </w:p>
    <w:p w14:paraId="3D89CEEC" w14:textId="77777777" w:rsidR="004E5371" w:rsidRPr="009E05F6" w:rsidRDefault="004E5371" w:rsidP="004E5371">
      <w:pPr>
        <w:rPr>
          <w:sz w:val="22"/>
          <w:szCs w:val="22"/>
          <w:lang w:val="is-IS"/>
        </w:rPr>
      </w:pPr>
      <w:r w:rsidRPr="009E05F6">
        <w:rPr>
          <w:sz w:val="22"/>
          <w:szCs w:val="22"/>
          <w:lang w:val="is-IS"/>
        </w:rPr>
        <w:t>Sjá lista yfir öll hjálparefni í kafla 6.1.</w:t>
      </w:r>
    </w:p>
    <w:p w14:paraId="6AD4161D" w14:textId="77777777" w:rsidR="004E5371" w:rsidRPr="009E05F6" w:rsidRDefault="004E5371" w:rsidP="004E5371">
      <w:pPr>
        <w:rPr>
          <w:sz w:val="22"/>
          <w:szCs w:val="22"/>
          <w:lang w:val="is-IS"/>
        </w:rPr>
      </w:pPr>
    </w:p>
    <w:p w14:paraId="65614354" w14:textId="77777777" w:rsidR="004E5371" w:rsidRPr="009E05F6" w:rsidRDefault="004E5371" w:rsidP="004E5371">
      <w:pPr>
        <w:rPr>
          <w:sz w:val="22"/>
          <w:szCs w:val="22"/>
          <w:lang w:val="is-IS"/>
        </w:rPr>
      </w:pPr>
    </w:p>
    <w:p w14:paraId="5F60E3D3" w14:textId="77777777" w:rsidR="004E5371" w:rsidRPr="009E05F6" w:rsidRDefault="004E5371" w:rsidP="004E5371">
      <w:pPr>
        <w:ind w:left="567" w:hanging="567"/>
        <w:rPr>
          <w:sz w:val="22"/>
          <w:szCs w:val="22"/>
          <w:lang w:val="is-IS"/>
        </w:rPr>
      </w:pPr>
      <w:r w:rsidRPr="009E05F6">
        <w:rPr>
          <w:b/>
          <w:sz w:val="22"/>
          <w:szCs w:val="22"/>
          <w:lang w:val="is-IS"/>
        </w:rPr>
        <w:t>3.</w:t>
      </w:r>
      <w:r w:rsidRPr="009E05F6">
        <w:rPr>
          <w:b/>
          <w:sz w:val="22"/>
          <w:szCs w:val="22"/>
          <w:lang w:val="is-IS"/>
        </w:rPr>
        <w:tab/>
        <w:t>LYFJAFORM</w:t>
      </w:r>
    </w:p>
    <w:p w14:paraId="23110E97" w14:textId="77777777" w:rsidR="004E5371" w:rsidRPr="009E05F6" w:rsidRDefault="004E5371" w:rsidP="004E5371">
      <w:pPr>
        <w:rPr>
          <w:sz w:val="22"/>
          <w:szCs w:val="22"/>
          <w:lang w:val="is-IS"/>
        </w:rPr>
      </w:pPr>
    </w:p>
    <w:p w14:paraId="606970C6" w14:textId="77777777" w:rsidR="004E5371" w:rsidRPr="009E05F6" w:rsidRDefault="004E5371" w:rsidP="004E5371">
      <w:pPr>
        <w:rPr>
          <w:sz w:val="22"/>
          <w:szCs w:val="22"/>
          <w:lang w:val="is-IS"/>
        </w:rPr>
      </w:pPr>
      <w:r w:rsidRPr="009E05F6">
        <w:rPr>
          <w:sz w:val="22"/>
          <w:szCs w:val="22"/>
          <w:lang w:val="is-IS"/>
        </w:rPr>
        <w:t>Mixtúra, dreifa.</w:t>
      </w:r>
    </w:p>
    <w:p w14:paraId="4818456E" w14:textId="77777777" w:rsidR="004E5371" w:rsidRPr="009E05F6" w:rsidRDefault="004E5371" w:rsidP="004E5371">
      <w:pPr>
        <w:rPr>
          <w:sz w:val="22"/>
          <w:szCs w:val="22"/>
          <w:lang w:val="is-IS"/>
        </w:rPr>
      </w:pPr>
      <w:r w:rsidRPr="009E05F6">
        <w:rPr>
          <w:sz w:val="22"/>
          <w:szCs w:val="22"/>
          <w:lang w:val="is-IS"/>
        </w:rPr>
        <w:t>Gul/græn mixtúra, dreifa.</w:t>
      </w:r>
    </w:p>
    <w:p w14:paraId="662C5D35" w14:textId="77777777" w:rsidR="004E5371" w:rsidRPr="009E05F6" w:rsidRDefault="004E5371" w:rsidP="004E5371">
      <w:pPr>
        <w:rPr>
          <w:sz w:val="22"/>
          <w:szCs w:val="22"/>
          <w:lang w:val="is-IS"/>
        </w:rPr>
      </w:pPr>
    </w:p>
    <w:p w14:paraId="4F00A8B3" w14:textId="77777777" w:rsidR="004E5371" w:rsidRPr="009E05F6" w:rsidRDefault="004E5371" w:rsidP="004E5371">
      <w:pPr>
        <w:rPr>
          <w:sz w:val="22"/>
          <w:szCs w:val="22"/>
          <w:lang w:val="is-IS"/>
        </w:rPr>
      </w:pPr>
    </w:p>
    <w:p w14:paraId="6754AAD3" w14:textId="77777777" w:rsidR="004E5371" w:rsidRPr="009E05F6" w:rsidRDefault="004E5371" w:rsidP="004E5371">
      <w:pPr>
        <w:rPr>
          <w:sz w:val="22"/>
          <w:szCs w:val="22"/>
          <w:lang w:val="is-IS"/>
        </w:rPr>
      </w:pPr>
      <w:r w:rsidRPr="009E05F6">
        <w:rPr>
          <w:b/>
          <w:sz w:val="22"/>
          <w:szCs w:val="22"/>
          <w:lang w:val="is-IS"/>
        </w:rPr>
        <w:t>4.</w:t>
      </w:r>
      <w:r w:rsidRPr="009E05F6">
        <w:rPr>
          <w:b/>
          <w:sz w:val="22"/>
          <w:szCs w:val="22"/>
          <w:lang w:val="is-IS"/>
        </w:rPr>
        <w:tab/>
        <w:t>KLÍNÍSKAR UPPLÝSINGAR</w:t>
      </w:r>
    </w:p>
    <w:p w14:paraId="362A4BA7" w14:textId="77777777" w:rsidR="004E5371" w:rsidRPr="009E05F6" w:rsidRDefault="004E5371" w:rsidP="004E5371">
      <w:pPr>
        <w:rPr>
          <w:sz w:val="22"/>
          <w:szCs w:val="22"/>
          <w:lang w:val="is-IS"/>
        </w:rPr>
      </w:pPr>
    </w:p>
    <w:p w14:paraId="0FA507D5" w14:textId="77777777" w:rsidR="004E5371" w:rsidRPr="009E05F6" w:rsidRDefault="004E5371" w:rsidP="004E5371">
      <w:pPr>
        <w:rPr>
          <w:sz w:val="22"/>
          <w:szCs w:val="22"/>
          <w:lang w:val="is-IS"/>
        </w:rPr>
      </w:pPr>
      <w:r w:rsidRPr="009E05F6">
        <w:rPr>
          <w:b/>
          <w:sz w:val="22"/>
          <w:szCs w:val="22"/>
          <w:lang w:val="is-IS"/>
        </w:rPr>
        <w:t>4.1</w:t>
      </w:r>
      <w:r w:rsidRPr="009E05F6">
        <w:rPr>
          <w:b/>
          <w:sz w:val="22"/>
          <w:szCs w:val="22"/>
          <w:lang w:val="is-IS"/>
        </w:rPr>
        <w:tab/>
        <w:t>Dýrategundir</w:t>
      </w:r>
    </w:p>
    <w:p w14:paraId="492A38C4" w14:textId="77777777" w:rsidR="004E5371" w:rsidRPr="009E05F6" w:rsidRDefault="004E5371" w:rsidP="004E5371">
      <w:pPr>
        <w:rPr>
          <w:sz w:val="22"/>
          <w:szCs w:val="22"/>
          <w:lang w:val="is-IS"/>
        </w:rPr>
      </w:pPr>
    </w:p>
    <w:p w14:paraId="73D08E7E" w14:textId="77777777" w:rsidR="004E5371" w:rsidRPr="009E05F6" w:rsidRDefault="004E5371" w:rsidP="004E5371">
      <w:pPr>
        <w:rPr>
          <w:sz w:val="22"/>
          <w:szCs w:val="22"/>
          <w:lang w:val="is-IS"/>
        </w:rPr>
      </w:pPr>
      <w:r w:rsidRPr="009E05F6">
        <w:rPr>
          <w:sz w:val="22"/>
          <w:szCs w:val="22"/>
          <w:lang w:val="is-IS"/>
        </w:rPr>
        <w:t>Kettir.</w:t>
      </w:r>
    </w:p>
    <w:p w14:paraId="22F76911" w14:textId="77777777" w:rsidR="004E5371" w:rsidRPr="009E05F6" w:rsidRDefault="004E5371" w:rsidP="004E5371">
      <w:pPr>
        <w:rPr>
          <w:sz w:val="22"/>
          <w:szCs w:val="22"/>
          <w:lang w:val="is-IS"/>
        </w:rPr>
      </w:pPr>
    </w:p>
    <w:p w14:paraId="08867D3B" w14:textId="77777777" w:rsidR="004E5371" w:rsidRPr="009E05F6" w:rsidRDefault="004E5371" w:rsidP="004E5371">
      <w:pPr>
        <w:outlineLvl w:val="0"/>
        <w:rPr>
          <w:sz w:val="22"/>
          <w:szCs w:val="22"/>
          <w:lang w:val="is-IS"/>
        </w:rPr>
      </w:pPr>
      <w:r w:rsidRPr="009E05F6">
        <w:rPr>
          <w:b/>
          <w:sz w:val="22"/>
          <w:szCs w:val="22"/>
          <w:lang w:val="is-IS"/>
        </w:rPr>
        <w:t>4.2</w:t>
      </w:r>
      <w:r w:rsidRPr="009E05F6">
        <w:rPr>
          <w:b/>
          <w:sz w:val="22"/>
          <w:szCs w:val="22"/>
          <w:lang w:val="is-IS"/>
        </w:rPr>
        <w:tab/>
        <w:t>Ábendingar fyrir tilgreindar dýrategundir</w:t>
      </w:r>
    </w:p>
    <w:p w14:paraId="2A7F01EC" w14:textId="77777777" w:rsidR="004E5371" w:rsidRPr="009E05F6" w:rsidRDefault="004E5371" w:rsidP="004E5371">
      <w:pPr>
        <w:rPr>
          <w:sz w:val="22"/>
          <w:szCs w:val="22"/>
          <w:lang w:val="is-IS"/>
        </w:rPr>
      </w:pPr>
    </w:p>
    <w:p w14:paraId="65798B21" w14:textId="77777777" w:rsidR="004E5371" w:rsidRPr="009E05F6" w:rsidRDefault="004E5371" w:rsidP="004E5371">
      <w:pPr>
        <w:rPr>
          <w:snapToGrid w:val="0"/>
          <w:sz w:val="22"/>
          <w:szCs w:val="22"/>
          <w:lang w:val="is-IS" w:eastAsia="de-DE"/>
        </w:rPr>
      </w:pPr>
      <w:r w:rsidRPr="009E05F6">
        <w:rPr>
          <w:snapToGrid w:val="0"/>
          <w:sz w:val="22"/>
          <w:szCs w:val="22"/>
          <w:lang w:val="is-IS" w:eastAsia="de-DE"/>
        </w:rPr>
        <w:t>Til að draga úr verkjum og bólgu vegna langvinnra kvilla í stoðkerfi hjá köttum.</w:t>
      </w:r>
    </w:p>
    <w:p w14:paraId="02DB6D60" w14:textId="77777777" w:rsidR="004E5371" w:rsidRPr="009E05F6" w:rsidRDefault="004E5371" w:rsidP="004E5371">
      <w:pPr>
        <w:outlineLvl w:val="0"/>
        <w:rPr>
          <w:b/>
          <w:sz w:val="22"/>
          <w:szCs w:val="22"/>
          <w:lang w:val="is-IS"/>
        </w:rPr>
      </w:pPr>
    </w:p>
    <w:p w14:paraId="36FF9D12" w14:textId="77777777" w:rsidR="004E5371" w:rsidRPr="009E05F6" w:rsidRDefault="004E5371" w:rsidP="004E5371">
      <w:pPr>
        <w:outlineLvl w:val="0"/>
        <w:rPr>
          <w:b/>
          <w:sz w:val="22"/>
          <w:szCs w:val="22"/>
          <w:lang w:val="is-IS"/>
        </w:rPr>
      </w:pPr>
      <w:r w:rsidRPr="009E05F6">
        <w:rPr>
          <w:b/>
          <w:sz w:val="22"/>
          <w:szCs w:val="22"/>
          <w:lang w:val="is-IS"/>
        </w:rPr>
        <w:t>4.3</w:t>
      </w:r>
      <w:r w:rsidRPr="009E05F6">
        <w:rPr>
          <w:b/>
          <w:sz w:val="22"/>
          <w:szCs w:val="22"/>
          <w:lang w:val="is-IS"/>
        </w:rPr>
        <w:tab/>
        <w:t>Frábendingar</w:t>
      </w:r>
    </w:p>
    <w:p w14:paraId="073980EE" w14:textId="77777777" w:rsidR="004E5371" w:rsidRPr="009E05F6" w:rsidRDefault="004E5371" w:rsidP="004E5371">
      <w:pPr>
        <w:rPr>
          <w:sz w:val="22"/>
          <w:szCs w:val="22"/>
          <w:lang w:val="is-IS"/>
        </w:rPr>
      </w:pPr>
    </w:p>
    <w:p w14:paraId="4413D638" w14:textId="77777777" w:rsidR="004E5371" w:rsidRPr="009E05F6" w:rsidRDefault="004E5371" w:rsidP="004E5371">
      <w:pPr>
        <w:rPr>
          <w:sz w:val="22"/>
          <w:szCs w:val="22"/>
          <w:lang w:val="is-IS"/>
        </w:rPr>
      </w:pPr>
      <w:r w:rsidRPr="009E05F6">
        <w:rPr>
          <w:sz w:val="22"/>
          <w:szCs w:val="22"/>
          <w:lang w:val="is-IS"/>
        </w:rPr>
        <w:t>Lyfið má ekki gefa köttum með meltingarfærasjúkdóma eins og bólgur/sár og blæðingar, skerta lifrar-, hjarta- eða nýrnastarfsemi eða blæðingasjúkdóma.</w:t>
      </w:r>
    </w:p>
    <w:p w14:paraId="480DFF2E" w14:textId="77777777" w:rsidR="004E5371" w:rsidRPr="009E05F6" w:rsidRDefault="004E5371" w:rsidP="004E5371">
      <w:pPr>
        <w:rPr>
          <w:sz w:val="22"/>
          <w:szCs w:val="22"/>
          <w:lang w:val="is-IS"/>
        </w:rPr>
      </w:pPr>
      <w:r w:rsidRPr="009E05F6">
        <w:rPr>
          <w:sz w:val="22"/>
          <w:szCs w:val="22"/>
          <w:lang w:val="is-IS"/>
        </w:rPr>
        <w:t>Gefið ekki dýrum sem hafa ofnæmi fyrir virka efninu eða einhverju hjálparefnanna.</w:t>
      </w:r>
    </w:p>
    <w:p w14:paraId="5C036392" w14:textId="77777777" w:rsidR="004E5371" w:rsidRPr="009E05F6" w:rsidRDefault="004E5371" w:rsidP="004E5371">
      <w:pPr>
        <w:rPr>
          <w:snapToGrid w:val="0"/>
          <w:sz w:val="22"/>
          <w:szCs w:val="22"/>
          <w:lang w:val="is-IS" w:eastAsia="de-DE"/>
        </w:rPr>
      </w:pPr>
      <w:r w:rsidRPr="009E05F6">
        <w:rPr>
          <w:snapToGrid w:val="0"/>
          <w:sz w:val="22"/>
          <w:szCs w:val="22"/>
          <w:lang w:val="is-IS" w:eastAsia="de-DE"/>
        </w:rPr>
        <w:t>Lyfið má ekki gefa kettlingum sem eru yngri en 6 vikna.</w:t>
      </w:r>
    </w:p>
    <w:p w14:paraId="090FCC68" w14:textId="77777777" w:rsidR="004E5371" w:rsidRDefault="004E5371" w:rsidP="004E5371">
      <w:pPr>
        <w:rPr>
          <w:sz w:val="22"/>
          <w:szCs w:val="22"/>
          <w:lang w:val="is-IS"/>
        </w:rPr>
      </w:pPr>
      <w:r>
        <w:rPr>
          <w:sz w:val="22"/>
          <w:szCs w:val="22"/>
          <w:lang w:val="is-IS"/>
        </w:rPr>
        <w:t>Sjá kafla 4.7.</w:t>
      </w:r>
    </w:p>
    <w:p w14:paraId="3E2168A1" w14:textId="77777777" w:rsidR="004E5371" w:rsidRPr="009E05F6" w:rsidRDefault="004E5371" w:rsidP="004E5371">
      <w:pPr>
        <w:rPr>
          <w:sz w:val="22"/>
          <w:szCs w:val="22"/>
          <w:lang w:val="is-IS"/>
        </w:rPr>
      </w:pPr>
    </w:p>
    <w:p w14:paraId="22B7C0D5" w14:textId="77777777" w:rsidR="004E5371" w:rsidRPr="009E05F6" w:rsidRDefault="004E5371" w:rsidP="004E5371">
      <w:pPr>
        <w:outlineLvl w:val="0"/>
        <w:rPr>
          <w:b/>
          <w:sz w:val="22"/>
          <w:szCs w:val="22"/>
          <w:lang w:val="is-IS"/>
        </w:rPr>
      </w:pPr>
      <w:r w:rsidRPr="009E05F6">
        <w:rPr>
          <w:b/>
          <w:sz w:val="22"/>
          <w:szCs w:val="22"/>
          <w:lang w:val="is-IS"/>
        </w:rPr>
        <w:t>4.4</w:t>
      </w:r>
      <w:r w:rsidRPr="009E05F6">
        <w:rPr>
          <w:b/>
          <w:sz w:val="22"/>
          <w:szCs w:val="22"/>
          <w:lang w:val="is-IS"/>
        </w:rPr>
        <w:tab/>
        <w:t>Sérstök varnaðarorð</w:t>
      </w:r>
    </w:p>
    <w:p w14:paraId="7E6D64C5" w14:textId="77777777" w:rsidR="004E5371" w:rsidRPr="009E05F6" w:rsidRDefault="004E5371" w:rsidP="004E5371">
      <w:pPr>
        <w:rPr>
          <w:sz w:val="22"/>
          <w:szCs w:val="22"/>
          <w:lang w:val="is-IS"/>
        </w:rPr>
      </w:pPr>
    </w:p>
    <w:p w14:paraId="45BFDF04" w14:textId="77777777" w:rsidR="004E5371" w:rsidRPr="009E05F6" w:rsidRDefault="004E5371" w:rsidP="004E5371">
      <w:pPr>
        <w:rPr>
          <w:sz w:val="22"/>
          <w:szCs w:val="22"/>
          <w:lang w:val="is-IS"/>
        </w:rPr>
      </w:pPr>
      <w:r w:rsidRPr="009E05F6">
        <w:rPr>
          <w:sz w:val="22"/>
          <w:szCs w:val="22"/>
          <w:lang w:val="is-IS"/>
        </w:rPr>
        <w:t>Engin.</w:t>
      </w:r>
    </w:p>
    <w:p w14:paraId="6CDB6342" w14:textId="77777777" w:rsidR="004E5371" w:rsidRPr="009E05F6" w:rsidRDefault="004E5371" w:rsidP="004E5371">
      <w:pPr>
        <w:rPr>
          <w:sz w:val="22"/>
          <w:szCs w:val="22"/>
          <w:lang w:val="is-IS"/>
        </w:rPr>
      </w:pPr>
    </w:p>
    <w:p w14:paraId="377BCDC4" w14:textId="77777777" w:rsidR="004E5371" w:rsidRPr="009E05F6" w:rsidRDefault="004E5371" w:rsidP="004E5371">
      <w:pPr>
        <w:outlineLvl w:val="0"/>
        <w:rPr>
          <w:b/>
          <w:sz w:val="22"/>
          <w:szCs w:val="22"/>
          <w:lang w:val="is-IS"/>
        </w:rPr>
      </w:pPr>
      <w:r w:rsidRPr="009E05F6">
        <w:rPr>
          <w:b/>
          <w:sz w:val="22"/>
          <w:szCs w:val="22"/>
          <w:lang w:val="is-IS"/>
        </w:rPr>
        <w:t>4.5</w:t>
      </w:r>
      <w:r w:rsidRPr="009E05F6">
        <w:rPr>
          <w:b/>
          <w:sz w:val="22"/>
          <w:szCs w:val="22"/>
          <w:lang w:val="is-IS"/>
        </w:rPr>
        <w:tab/>
        <w:t>Sérstakar varúðarreglur við notkun</w:t>
      </w:r>
    </w:p>
    <w:p w14:paraId="2391BC89" w14:textId="77777777" w:rsidR="004E5371" w:rsidRPr="009E05F6" w:rsidRDefault="004E5371" w:rsidP="004E5371">
      <w:pPr>
        <w:rPr>
          <w:sz w:val="22"/>
          <w:szCs w:val="22"/>
          <w:lang w:val="is-IS"/>
        </w:rPr>
      </w:pPr>
    </w:p>
    <w:p w14:paraId="28FA8F90" w14:textId="77777777" w:rsidR="004E5371" w:rsidRPr="009B179C" w:rsidRDefault="004E5371" w:rsidP="004E5371">
      <w:pPr>
        <w:outlineLvl w:val="0"/>
        <w:rPr>
          <w:sz w:val="22"/>
          <w:szCs w:val="22"/>
          <w:u w:val="single"/>
          <w:lang w:val="is-IS"/>
        </w:rPr>
      </w:pPr>
      <w:r w:rsidRPr="009B179C">
        <w:rPr>
          <w:sz w:val="22"/>
          <w:szCs w:val="22"/>
          <w:u w:val="single"/>
          <w:lang w:val="is-IS"/>
        </w:rPr>
        <w:t>Sérstakar varúðarreglur við notkun hjá dýrum</w:t>
      </w:r>
    </w:p>
    <w:p w14:paraId="2F625F34" w14:textId="77777777" w:rsidR="004E5371" w:rsidRPr="009E05F6" w:rsidRDefault="004E5371" w:rsidP="004E5371">
      <w:pPr>
        <w:rPr>
          <w:sz w:val="22"/>
          <w:szCs w:val="22"/>
          <w:lang w:val="is-IS"/>
        </w:rPr>
      </w:pPr>
    </w:p>
    <w:p w14:paraId="6BEB2A33" w14:textId="77777777" w:rsidR="004E5371" w:rsidRPr="009E05F6" w:rsidRDefault="004E5371" w:rsidP="004E5371">
      <w:pPr>
        <w:rPr>
          <w:sz w:val="22"/>
          <w:szCs w:val="22"/>
          <w:lang w:val="is-IS"/>
        </w:rPr>
      </w:pPr>
      <w:r w:rsidRPr="009E05F6">
        <w:rPr>
          <w:sz w:val="22"/>
          <w:szCs w:val="22"/>
          <w:lang w:val="is-IS"/>
        </w:rPr>
        <w:t>Vegna hugsanlegrar hættu á eiturverkunum á nýru skal forðast notkun lyfsins hjá dýrum með vessa</w:t>
      </w:r>
      <w:r w:rsidRPr="009E05F6">
        <w:rPr>
          <w:sz w:val="22"/>
          <w:szCs w:val="22"/>
          <w:lang w:val="is-IS"/>
        </w:rPr>
        <w:softHyphen/>
        <w:t>þurrð, blóðþurrð eða lágan blóðþrýsting.</w:t>
      </w:r>
    </w:p>
    <w:p w14:paraId="37BEDE57" w14:textId="77777777" w:rsidR="004E5371" w:rsidRPr="009E05F6" w:rsidRDefault="004E5371" w:rsidP="004E5371">
      <w:pPr>
        <w:rPr>
          <w:sz w:val="22"/>
          <w:szCs w:val="22"/>
          <w:lang w:val="is-IS"/>
        </w:rPr>
      </w:pPr>
    </w:p>
    <w:p w14:paraId="3064742B" w14:textId="77777777" w:rsidR="004E5371" w:rsidRPr="009E05F6" w:rsidRDefault="004E5371" w:rsidP="004E5371">
      <w:pPr>
        <w:rPr>
          <w:sz w:val="22"/>
          <w:szCs w:val="22"/>
          <w:lang w:val="is-IS"/>
        </w:rPr>
      </w:pPr>
      <w:r w:rsidRPr="009E05F6">
        <w:rPr>
          <w:sz w:val="22"/>
          <w:szCs w:val="22"/>
          <w:lang w:val="is-IS"/>
        </w:rPr>
        <w:t>Dýralæknir á með reglulegu millibili að fylgjast með svörun við langtíma meðferð.</w:t>
      </w:r>
    </w:p>
    <w:p w14:paraId="18C950D1" w14:textId="77777777" w:rsidR="004E5371" w:rsidRPr="009E05F6" w:rsidRDefault="004E5371" w:rsidP="004E5371">
      <w:pPr>
        <w:rPr>
          <w:sz w:val="22"/>
          <w:szCs w:val="22"/>
          <w:lang w:val="is-IS"/>
        </w:rPr>
      </w:pPr>
    </w:p>
    <w:p w14:paraId="7E2E286E" w14:textId="77777777" w:rsidR="004E5371" w:rsidRPr="009B179C" w:rsidRDefault="004E5371" w:rsidP="004E5371">
      <w:pPr>
        <w:outlineLvl w:val="0"/>
        <w:rPr>
          <w:sz w:val="22"/>
          <w:szCs w:val="22"/>
          <w:u w:val="single"/>
          <w:lang w:val="is-IS"/>
        </w:rPr>
      </w:pPr>
      <w:r w:rsidRPr="009B179C">
        <w:rPr>
          <w:sz w:val="22"/>
          <w:szCs w:val="22"/>
          <w:u w:val="single"/>
          <w:lang w:val="is-IS"/>
        </w:rPr>
        <w:t>Sérstakar varúðarreglur fyrir þann sem gefur dýrinu lyfið</w:t>
      </w:r>
    </w:p>
    <w:p w14:paraId="4BD2013E" w14:textId="77777777" w:rsidR="004E5371" w:rsidRPr="009E05F6" w:rsidRDefault="004E5371" w:rsidP="004E5371">
      <w:pPr>
        <w:rPr>
          <w:sz w:val="22"/>
          <w:szCs w:val="22"/>
          <w:lang w:val="is-IS"/>
        </w:rPr>
      </w:pPr>
      <w:r w:rsidRPr="009E05F6">
        <w:rPr>
          <w:sz w:val="22"/>
          <w:szCs w:val="22"/>
          <w:lang w:val="is-IS"/>
        </w:rPr>
        <w:t>Þeir sem hafa ofnæmi fyrir bólgueyðandi verkjalyfjum (NSAID) skulu forðast snertingu við dýralyfið.</w:t>
      </w:r>
    </w:p>
    <w:p w14:paraId="528675F9" w14:textId="77777777" w:rsidR="004E5371" w:rsidRPr="009E05F6" w:rsidRDefault="004E5371" w:rsidP="004E5371">
      <w:pPr>
        <w:rPr>
          <w:sz w:val="22"/>
          <w:szCs w:val="22"/>
          <w:lang w:val="is-IS"/>
        </w:rPr>
      </w:pPr>
      <w:r w:rsidRPr="009E05F6">
        <w:rPr>
          <w:sz w:val="22"/>
          <w:szCs w:val="22"/>
          <w:lang w:val="is-IS"/>
        </w:rPr>
        <w:t>Ef sá sem annast lyfjagjöf tekur dýralyfið inn fyrir slysni, skal tafarlaust leita til læknis og hafa meðferðis fylgiseðil eða umbúðir dýralyfsins.</w:t>
      </w:r>
    </w:p>
    <w:p w14:paraId="0B68B21E" w14:textId="77777777" w:rsidR="004E5371" w:rsidRPr="009E05F6" w:rsidRDefault="004E5371" w:rsidP="004E5371">
      <w:pPr>
        <w:rPr>
          <w:sz w:val="22"/>
          <w:szCs w:val="22"/>
          <w:lang w:val="is-IS"/>
        </w:rPr>
      </w:pPr>
    </w:p>
    <w:p w14:paraId="4A85E883" w14:textId="77777777" w:rsidR="004E5371" w:rsidRPr="009E05F6" w:rsidRDefault="004E5371" w:rsidP="004E5371">
      <w:pPr>
        <w:outlineLvl w:val="0"/>
        <w:rPr>
          <w:b/>
          <w:sz w:val="22"/>
          <w:szCs w:val="22"/>
          <w:lang w:val="is-IS"/>
        </w:rPr>
      </w:pPr>
      <w:r w:rsidRPr="009E05F6">
        <w:rPr>
          <w:b/>
          <w:sz w:val="22"/>
          <w:szCs w:val="22"/>
          <w:lang w:val="is-IS"/>
        </w:rPr>
        <w:t>4.6</w:t>
      </w:r>
      <w:r w:rsidRPr="009E05F6">
        <w:rPr>
          <w:b/>
          <w:sz w:val="22"/>
          <w:szCs w:val="22"/>
          <w:lang w:val="is-IS"/>
        </w:rPr>
        <w:tab/>
        <w:t>Aukaverkanir (tíðni og alvarleiki)</w:t>
      </w:r>
    </w:p>
    <w:p w14:paraId="0E35CB99" w14:textId="77777777" w:rsidR="004E5371" w:rsidRPr="009E05F6" w:rsidRDefault="004E5371" w:rsidP="004E5371">
      <w:pPr>
        <w:rPr>
          <w:sz w:val="22"/>
          <w:szCs w:val="22"/>
          <w:lang w:val="is-IS"/>
        </w:rPr>
      </w:pPr>
    </w:p>
    <w:p w14:paraId="40D07689" w14:textId="77777777" w:rsidR="004E5371" w:rsidRDefault="004E5371" w:rsidP="004E5371">
      <w:pPr>
        <w:rPr>
          <w:sz w:val="22"/>
          <w:szCs w:val="22"/>
          <w:lang w:val="is-IS"/>
        </w:rPr>
      </w:pPr>
      <w:r w:rsidRPr="009E05F6">
        <w:rPr>
          <w:sz w:val="22"/>
          <w:szCs w:val="22"/>
          <w:lang w:val="is-IS"/>
        </w:rPr>
        <w:t xml:space="preserve">Stöku sinnum hefur verið greint frá aukaverkunum sem eru vel þekktar af völdum bólgueyðandi verkjalyfja (NSAID), svo sem lystarleysi, uppköstum, niðurgangi, blóði í saur, sleni og nýrnabilun. </w:t>
      </w:r>
    </w:p>
    <w:p w14:paraId="18604A53" w14:textId="77777777" w:rsidR="004E5371" w:rsidRPr="009E05F6" w:rsidRDefault="004E5371" w:rsidP="004E5371">
      <w:pPr>
        <w:rPr>
          <w:sz w:val="22"/>
          <w:szCs w:val="22"/>
          <w:lang w:val="is-IS"/>
        </w:rPr>
      </w:pPr>
      <w:r>
        <w:rPr>
          <w:sz w:val="22"/>
          <w:szCs w:val="22"/>
          <w:lang w:val="is-IS"/>
        </w:rPr>
        <w:t xml:space="preserve">Örsjaldan hefur verið tilkynnt um </w:t>
      </w:r>
      <w:r w:rsidRPr="0061427D">
        <w:rPr>
          <w:sz w:val="22"/>
          <w:szCs w:val="22"/>
          <w:lang w:val="is-IS"/>
        </w:rPr>
        <w:t>hækkun lifrarensíma.</w:t>
      </w:r>
      <w:r>
        <w:rPr>
          <w:sz w:val="22"/>
          <w:szCs w:val="22"/>
          <w:lang w:val="is-IS"/>
        </w:rPr>
        <w:t xml:space="preserve"> </w:t>
      </w:r>
      <w:r w:rsidRPr="009E05F6">
        <w:rPr>
          <w:sz w:val="22"/>
          <w:szCs w:val="22"/>
          <w:lang w:val="is-IS"/>
        </w:rPr>
        <w:t>Þessar aukaverkanir eru í flestum tilvikum tímabundnar og hverfa þegar meðferð er hætt en geta örsjaldan verið alvarlegar eða banvænar.</w:t>
      </w:r>
    </w:p>
    <w:p w14:paraId="411022DA" w14:textId="77777777" w:rsidR="004E5371" w:rsidRPr="009E05F6" w:rsidRDefault="004E5371" w:rsidP="004E5371">
      <w:pPr>
        <w:rPr>
          <w:sz w:val="22"/>
          <w:szCs w:val="22"/>
          <w:lang w:val="is-IS"/>
        </w:rPr>
      </w:pPr>
      <w:r w:rsidRPr="009E05F6">
        <w:rPr>
          <w:sz w:val="22"/>
          <w:szCs w:val="22"/>
          <w:lang w:val="is-IS"/>
        </w:rPr>
        <w:t>Ef aukaverkanir koma fram skal hætta meðferð og leita ráða dýralæknis.</w:t>
      </w:r>
    </w:p>
    <w:p w14:paraId="2315D0BA" w14:textId="77777777" w:rsidR="004E5371" w:rsidRDefault="004E5371" w:rsidP="004E5371">
      <w:pPr>
        <w:rPr>
          <w:sz w:val="22"/>
          <w:szCs w:val="22"/>
          <w:lang w:val="is-IS"/>
        </w:rPr>
      </w:pPr>
    </w:p>
    <w:p w14:paraId="16F526A5" w14:textId="77777777" w:rsidR="004E5371" w:rsidRPr="00544DCB" w:rsidRDefault="004E5371" w:rsidP="004E5371">
      <w:pPr>
        <w:rPr>
          <w:sz w:val="22"/>
          <w:szCs w:val="22"/>
          <w:lang w:val="is-IS"/>
        </w:rPr>
      </w:pPr>
      <w:r w:rsidRPr="00544DCB">
        <w:rPr>
          <w:sz w:val="22"/>
          <w:szCs w:val="22"/>
          <w:lang w:val="is-IS"/>
        </w:rPr>
        <w:t>Tíðni aukaverkana er skilgreind samkvæmt eftirfarandi:</w:t>
      </w:r>
    </w:p>
    <w:p w14:paraId="55D84ED3" w14:textId="77777777" w:rsidR="004E5371" w:rsidRPr="00544DCB" w:rsidRDefault="004E5371" w:rsidP="004E5371">
      <w:pPr>
        <w:rPr>
          <w:sz w:val="22"/>
          <w:szCs w:val="22"/>
          <w:lang w:val="is-IS"/>
        </w:rPr>
      </w:pPr>
      <w:r w:rsidRPr="00544DCB">
        <w:rPr>
          <w:sz w:val="22"/>
          <w:szCs w:val="22"/>
          <w:lang w:val="is-IS"/>
        </w:rPr>
        <w:t>- Mjög algengar (aukaverkanir koma fyrir hjá fleiri en 1 af hverjum 10 dýrum í hverri meðferð)</w:t>
      </w:r>
    </w:p>
    <w:p w14:paraId="6654C80C" w14:textId="77777777" w:rsidR="004E5371" w:rsidRPr="00544DCB" w:rsidRDefault="004E5371" w:rsidP="004E5371">
      <w:pPr>
        <w:rPr>
          <w:sz w:val="22"/>
          <w:szCs w:val="22"/>
          <w:lang w:val="is-IS"/>
        </w:rPr>
      </w:pPr>
      <w:r w:rsidRPr="00544DCB">
        <w:rPr>
          <w:sz w:val="22"/>
          <w:szCs w:val="22"/>
          <w:lang w:val="is-IS"/>
        </w:rPr>
        <w:t>- Algengar (koma fyrir hjá fleiri en 1 en færri en 10 af hverjum 100 dýrum)</w:t>
      </w:r>
    </w:p>
    <w:p w14:paraId="5D8B5491" w14:textId="77777777" w:rsidR="004E5371" w:rsidRPr="00544DCB" w:rsidRDefault="004E5371" w:rsidP="004E5371">
      <w:pPr>
        <w:rPr>
          <w:sz w:val="22"/>
          <w:szCs w:val="22"/>
          <w:lang w:val="is-IS"/>
        </w:rPr>
      </w:pPr>
      <w:r w:rsidRPr="00544DCB">
        <w:rPr>
          <w:sz w:val="22"/>
          <w:szCs w:val="22"/>
          <w:lang w:val="is-IS"/>
        </w:rPr>
        <w:t>- Sjaldgæfar (koma fyrir hjá fleiri en 1 en færri en 10 af hverjum 1.000 dýrum)</w:t>
      </w:r>
    </w:p>
    <w:p w14:paraId="45382135" w14:textId="77777777" w:rsidR="004E5371" w:rsidRPr="00544DCB" w:rsidRDefault="004E5371" w:rsidP="004E5371">
      <w:pPr>
        <w:rPr>
          <w:sz w:val="22"/>
          <w:szCs w:val="22"/>
          <w:lang w:val="is-IS"/>
        </w:rPr>
      </w:pPr>
      <w:r w:rsidRPr="00544DCB">
        <w:rPr>
          <w:sz w:val="22"/>
          <w:szCs w:val="22"/>
          <w:lang w:val="is-IS"/>
        </w:rPr>
        <w:t>- Mjög sjaldgæfar (koma fyrir hjá fleiri en 1 en færri en 10 af hverjum 10.000 dýrum)</w:t>
      </w:r>
    </w:p>
    <w:p w14:paraId="155EC2A0" w14:textId="77777777" w:rsidR="004E5371" w:rsidRPr="00544DCB" w:rsidRDefault="004E5371" w:rsidP="004E5371">
      <w:pPr>
        <w:rPr>
          <w:sz w:val="22"/>
          <w:szCs w:val="22"/>
          <w:lang w:val="is-IS"/>
        </w:rPr>
      </w:pPr>
      <w:r w:rsidRPr="00544DCB">
        <w:rPr>
          <w:sz w:val="22"/>
          <w:szCs w:val="22"/>
          <w:lang w:val="is-IS"/>
        </w:rPr>
        <w:t>- Koma örsjaldan fyrir (koma fyrir hjá færri en 1 af hverjum 10.00</w:t>
      </w:r>
      <w:r>
        <w:rPr>
          <w:sz w:val="22"/>
          <w:szCs w:val="22"/>
          <w:lang w:val="is-IS"/>
        </w:rPr>
        <w:t>0 dýrum, þ.m.t. einstök tilvik)</w:t>
      </w:r>
    </w:p>
    <w:p w14:paraId="6F5D3BD4" w14:textId="77777777" w:rsidR="004E5371" w:rsidRPr="009E05F6" w:rsidRDefault="004E5371" w:rsidP="004E5371">
      <w:pPr>
        <w:rPr>
          <w:sz w:val="22"/>
          <w:szCs w:val="22"/>
          <w:lang w:val="is-IS"/>
        </w:rPr>
      </w:pPr>
    </w:p>
    <w:p w14:paraId="66CD2DB2" w14:textId="77777777" w:rsidR="004E5371" w:rsidRPr="009E05F6" w:rsidRDefault="004E5371" w:rsidP="004E5371">
      <w:pPr>
        <w:outlineLvl w:val="0"/>
        <w:rPr>
          <w:b/>
          <w:sz w:val="22"/>
          <w:szCs w:val="22"/>
          <w:lang w:val="is-IS"/>
        </w:rPr>
      </w:pPr>
      <w:r w:rsidRPr="009E05F6">
        <w:rPr>
          <w:b/>
          <w:sz w:val="22"/>
          <w:szCs w:val="22"/>
          <w:lang w:val="is-IS"/>
        </w:rPr>
        <w:t>4.7</w:t>
      </w:r>
      <w:r w:rsidRPr="009E05F6">
        <w:rPr>
          <w:b/>
          <w:sz w:val="22"/>
          <w:szCs w:val="22"/>
          <w:lang w:val="is-IS"/>
        </w:rPr>
        <w:tab/>
        <w:t>Notkun á meðgöngu, við mjólkurgjöf og varp</w:t>
      </w:r>
    </w:p>
    <w:p w14:paraId="685F0544" w14:textId="77777777" w:rsidR="004E5371" w:rsidRPr="009E05F6" w:rsidRDefault="004E5371" w:rsidP="004E5371">
      <w:pPr>
        <w:rPr>
          <w:sz w:val="22"/>
          <w:szCs w:val="22"/>
          <w:lang w:val="is-IS"/>
        </w:rPr>
      </w:pPr>
    </w:p>
    <w:p w14:paraId="2059E85B" w14:textId="77777777" w:rsidR="004E5371" w:rsidRDefault="004E5371" w:rsidP="004E5371">
      <w:pPr>
        <w:rPr>
          <w:sz w:val="22"/>
          <w:szCs w:val="22"/>
          <w:lang w:val="is-IS"/>
        </w:rPr>
      </w:pPr>
      <w:r w:rsidRPr="009E05F6">
        <w:rPr>
          <w:sz w:val="22"/>
          <w:szCs w:val="22"/>
          <w:lang w:val="is-IS"/>
        </w:rPr>
        <w:t>Ekki hefur verið sýnt fram á öryggi dýralyfsins á meðgöngu og við mjólkurgjöf.</w:t>
      </w:r>
    </w:p>
    <w:p w14:paraId="3433BF0E" w14:textId="77777777" w:rsidR="004E5371" w:rsidRPr="009E05F6" w:rsidRDefault="004E5371" w:rsidP="004E5371">
      <w:pPr>
        <w:rPr>
          <w:sz w:val="22"/>
          <w:szCs w:val="22"/>
          <w:lang w:val="is-IS"/>
        </w:rPr>
      </w:pPr>
      <w:r w:rsidRPr="009E05F6">
        <w:rPr>
          <w:sz w:val="22"/>
          <w:szCs w:val="22"/>
          <w:lang w:val="is-IS"/>
        </w:rPr>
        <w:t>Lyfið má hvorki gefa dýrum á meðgöngu né mjólkandi dýrum.</w:t>
      </w:r>
    </w:p>
    <w:p w14:paraId="40354750" w14:textId="77777777" w:rsidR="004E5371" w:rsidRPr="009E05F6" w:rsidRDefault="004E5371" w:rsidP="004E5371">
      <w:pPr>
        <w:rPr>
          <w:sz w:val="22"/>
          <w:szCs w:val="22"/>
          <w:lang w:val="is-IS"/>
        </w:rPr>
      </w:pPr>
    </w:p>
    <w:p w14:paraId="56FDAFFD" w14:textId="77777777" w:rsidR="004E5371" w:rsidRPr="009E05F6" w:rsidRDefault="004E5371" w:rsidP="004E5371">
      <w:pPr>
        <w:rPr>
          <w:sz w:val="22"/>
          <w:szCs w:val="22"/>
          <w:lang w:val="is-IS"/>
        </w:rPr>
      </w:pPr>
    </w:p>
    <w:p w14:paraId="5D555446" w14:textId="77777777" w:rsidR="004E5371" w:rsidRPr="009E05F6" w:rsidRDefault="004E5371" w:rsidP="004E5371">
      <w:pPr>
        <w:outlineLvl w:val="0"/>
        <w:rPr>
          <w:b/>
          <w:sz w:val="22"/>
          <w:szCs w:val="22"/>
          <w:lang w:val="is-IS"/>
        </w:rPr>
      </w:pPr>
      <w:r w:rsidRPr="009E05F6">
        <w:rPr>
          <w:b/>
          <w:sz w:val="22"/>
          <w:szCs w:val="22"/>
          <w:lang w:val="is-IS"/>
        </w:rPr>
        <w:t>4.8</w:t>
      </w:r>
      <w:r w:rsidRPr="009E05F6">
        <w:rPr>
          <w:b/>
          <w:sz w:val="22"/>
          <w:szCs w:val="22"/>
          <w:lang w:val="is-IS"/>
        </w:rPr>
        <w:tab/>
        <w:t>Milliverkanir við önnur lyf og aðrar milliverkanir</w:t>
      </w:r>
    </w:p>
    <w:p w14:paraId="2D8EF9B1" w14:textId="77777777" w:rsidR="004E5371" w:rsidRPr="009E05F6" w:rsidRDefault="004E5371" w:rsidP="004E5371">
      <w:pPr>
        <w:rPr>
          <w:sz w:val="22"/>
          <w:szCs w:val="22"/>
          <w:lang w:val="is-IS"/>
        </w:rPr>
      </w:pPr>
    </w:p>
    <w:p w14:paraId="610DC33B" w14:textId="77777777" w:rsidR="004E5371" w:rsidRPr="009E05F6" w:rsidRDefault="004E5371" w:rsidP="004E5371">
      <w:pPr>
        <w:rPr>
          <w:sz w:val="22"/>
          <w:szCs w:val="22"/>
          <w:lang w:val="is-IS"/>
        </w:rPr>
      </w:pPr>
      <w:r w:rsidRPr="009E05F6">
        <w:rPr>
          <w:sz w:val="22"/>
          <w:szCs w:val="22"/>
          <w:lang w:val="is-IS"/>
        </w:rPr>
        <w:t>Önnur bólgueyðandi verkjalyf, þvagræsilyf, segavarnarlyf, sýklalyf af flokki amínóglýkósíða og efni sem eru mikið próteinbundin geta keppt um bindingu og þannig valdið eiturverkunum. Ekki má gefa Meloxoral samtímis öðrum bólgueyðandi verkjalyfjum eða sykursterum. Forðast skal samtímis notkun dýralyfja sem geta haft eiturverkanir á nýru.</w:t>
      </w:r>
    </w:p>
    <w:p w14:paraId="680796A8" w14:textId="77777777" w:rsidR="004E5371" w:rsidRPr="009E05F6" w:rsidRDefault="004E5371" w:rsidP="004E5371">
      <w:pPr>
        <w:rPr>
          <w:sz w:val="22"/>
          <w:szCs w:val="22"/>
          <w:lang w:val="is-IS"/>
        </w:rPr>
      </w:pPr>
    </w:p>
    <w:p w14:paraId="062B9E46" w14:textId="77777777" w:rsidR="004E5371" w:rsidRPr="009E05F6" w:rsidRDefault="004E5371" w:rsidP="004E5371">
      <w:pPr>
        <w:rPr>
          <w:sz w:val="22"/>
          <w:szCs w:val="22"/>
          <w:lang w:val="is-IS"/>
        </w:rPr>
      </w:pPr>
      <w:r w:rsidRPr="009E05F6">
        <w:rPr>
          <w:sz w:val="22"/>
          <w:szCs w:val="22"/>
          <w:lang w:val="is-IS"/>
        </w:rPr>
        <w:t>Meðferð með bólgueyðandi lyfjum, áður en til meðferðar með þessu lyfi kemur, getur leitt til viðbótar eða aukinna aukaverkana og því ætti ekki að gefa slík dýralyf í að minnsta kosti 24 klst. áður en meðferð með þessu lyfi hefst. Meðferðarlausa tímabilið verður þó að taka mið af lyfjafræðilegum eiginleikum lyfja sem voru notuð áður.</w:t>
      </w:r>
    </w:p>
    <w:p w14:paraId="5263A4D7" w14:textId="77777777" w:rsidR="004E5371" w:rsidRPr="009E05F6" w:rsidRDefault="004E5371" w:rsidP="004E5371">
      <w:pPr>
        <w:outlineLvl w:val="0"/>
        <w:rPr>
          <w:b/>
          <w:sz w:val="22"/>
          <w:szCs w:val="22"/>
          <w:lang w:val="is-IS"/>
        </w:rPr>
      </w:pPr>
    </w:p>
    <w:p w14:paraId="53B7BBE6" w14:textId="77777777" w:rsidR="004E5371" w:rsidRPr="009E05F6" w:rsidRDefault="004E5371" w:rsidP="004E5371">
      <w:pPr>
        <w:outlineLvl w:val="0"/>
        <w:rPr>
          <w:b/>
          <w:sz w:val="22"/>
          <w:szCs w:val="22"/>
          <w:lang w:val="is-IS"/>
        </w:rPr>
      </w:pPr>
      <w:r w:rsidRPr="009E05F6">
        <w:rPr>
          <w:b/>
          <w:sz w:val="22"/>
          <w:szCs w:val="22"/>
          <w:lang w:val="is-IS"/>
        </w:rPr>
        <w:t>4.9</w:t>
      </w:r>
      <w:r w:rsidRPr="009E05F6">
        <w:rPr>
          <w:b/>
          <w:sz w:val="22"/>
          <w:szCs w:val="22"/>
          <w:lang w:val="is-IS"/>
        </w:rPr>
        <w:tab/>
        <w:t>Skammtar og íkomuleið</w:t>
      </w:r>
    </w:p>
    <w:p w14:paraId="4AB040B1" w14:textId="77777777" w:rsidR="004E5371" w:rsidRPr="009E05F6" w:rsidRDefault="004E5371" w:rsidP="004E5371">
      <w:pPr>
        <w:rPr>
          <w:sz w:val="22"/>
          <w:szCs w:val="22"/>
          <w:lang w:val="is-IS"/>
        </w:rPr>
      </w:pPr>
    </w:p>
    <w:p w14:paraId="66AEB3D8" w14:textId="77777777" w:rsidR="004E5371" w:rsidRPr="009E05F6" w:rsidRDefault="004E5371" w:rsidP="004E5371">
      <w:pPr>
        <w:rPr>
          <w:sz w:val="22"/>
          <w:szCs w:val="22"/>
          <w:lang w:val="is-IS"/>
        </w:rPr>
      </w:pPr>
      <w:r w:rsidRPr="009E05F6">
        <w:rPr>
          <w:sz w:val="22"/>
          <w:szCs w:val="22"/>
          <w:lang w:val="is-IS"/>
        </w:rPr>
        <w:t>Til inntöku</w:t>
      </w:r>
    </w:p>
    <w:p w14:paraId="573654BC" w14:textId="77777777" w:rsidR="004E5371" w:rsidRPr="009E05F6" w:rsidRDefault="004E5371" w:rsidP="004E5371">
      <w:pPr>
        <w:rPr>
          <w:sz w:val="22"/>
          <w:szCs w:val="22"/>
          <w:lang w:val="is-IS"/>
        </w:rPr>
      </w:pPr>
      <w:r w:rsidRPr="009E05F6">
        <w:rPr>
          <w:sz w:val="22"/>
          <w:szCs w:val="22"/>
          <w:lang w:val="is-IS"/>
        </w:rPr>
        <w:t>Gefa á lyfið til inntöku, annað hvort blandað í fóður eða beint upp í munn dýrsins.</w:t>
      </w:r>
    </w:p>
    <w:p w14:paraId="5A5DA662" w14:textId="77777777" w:rsidR="004E5371" w:rsidRPr="009E05F6" w:rsidRDefault="004E5371" w:rsidP="004E5371">
      <w:pPr>
        <w:rPr>
          <w:sz w:val="22"/>
          <w:szCs w:val="22"/>
          <w:lang w:val="is-IS"/>
        </w:rPr>
      </w:pPr>
      <w:r w:rsidRPr="009E05F6">
        <w:rPr>
          <w:sz w:val="22"/>
          <w:szCs w:val="22"/>
          <w:lang w:val="is-IS"/>
        </w:rPr>
        <w:t>Hristið vel fyrir notkun.</w:t>
      </w:r>
    </w:p>
    <w:p w14:paraId="55C4E1A1" w14:textId="77777777" w:rsidR="004E5371" w:rsidRPr="009E05F6" w:rsidRDefault="004E5371" w:rsidP="004E5371">
      <w:pPr>
        <w:rPr>
          <w:sz w:val="22"/>
          <w:szCs w:val="22"/>
          <w:lang w:val="is-IS"/>
        </w:rPr>
      </w:pPr>
    </w:p>
    <w:p w14:paraId="7D10CA22" w14:textId="77777777" w:rsidR="004E5371" w:rsidRPr="009E05F6" w:rsidRDefault="004E5371" w:rsidP="004E5371">
      <w:pPr>
        <w:rPr>
          <w:sz w:val="22"/>
          <w:szCs w:val="22"/>
          <w:lang w:val="is-IS"/>
        </w:rPr>
      </w:pPr>
      <w:r w:rsidRPr="009E05F6">
        <w:rPr>
          <w:sz w:val="22"/>
          <w:szCs w:val="22"/>
          <w:lang w:val="is-IS"/>
        </w:rPr>
        <w:t>Upphafsmeðferð er stakur skammtur til inntöku, 0,1 mg meloxicam/kg líkamsþunga á fyrsta degi með</w:t>
      </w:r>
      <w:r>
        <w:rPr>
          <w:sz w:val="22"/>
          <w:szCs w:val="22"/>
          <w:lang w:val="is-IS"/>
        </w:rPr>
        <w:t>ferðar</w:t>
      </w:r>
      <w:r w:rsidRPr="009E05F6">
        <w:rPr>
          <w:sz w:val="22"/>
          <w:szCs w:val="22"/>
          <w:lang w:val="is-IS"/>
        </w:rPr>
        <w:t>. Halda á með</w:t>
      </w:r>
      <w:r>
        <w:rPr>
          <w:sz w:val="22"/>
          <w:szCs w:val="22"/>
          <w:lang w:val="is-IS"/>
        </w:rPr>
        <w:t>ferð</w:t>
      </w:r>
      <w:r w:rsidRPr="009E05F6">
        <w:rPr>
          <w:sz w:val="22"/>
          <w:szCs w:val="22"/>
          <w:lang w:val="is-IS"/>
        </w:rPr>
        <w:t xml:space="preserve"> áfram, einu sinni á sólarhring til inntöku (á 24 klst. fresti) með viðhalds</w:t>
      </w:r>
      <w:r w:rsidRPr="009E05F6">
        <w:rPr>
          <w:sz w:val="22"/>
          <w:szCs w:val="22"/>
          <w:lang w:val="is-IS"/>
        </w:rPr>
        <w:softHyphen/>
        <w:t>skammtinum 0,05 mg meloxicam/kg líkamsþyngdar.</w:t>
      </w:r>
    </w:p>
    <w:p w14:paraId="082762BB" w14:textId="77777777" w:rsidR="004E5371" w:rsidRPr="009E05F6" w:rsidRDefault="004E5371" w:rsidP="004E5371">
      <w:pPr>
        <w:rPr>
          <w:sz w:val="22"/>
          <w:szCs w:val="22"/>
          <w:lang w:val="is-IS"/>
        </w:rPr>
      </w:pPr>
      <w:r w:rsidRPr="009E05F6">
        <w:rPr>
          <w:sz w:val="22"/>
          <w:szCs w:val="22"/>
          <w:lang w:val="is-IS"/>
        </w:rPr>
        <w:t>Þess skal sérstaklega gætt að lyfið sé rétt skammtað. Ekki skal nota stærri skammt en þann sem ráðlagður er.</w:t>
      </w:r>
    </w:p>
    <w:p w14:paraId="6A035475" w14:textId="77777777" w:rsidR="004E5371" w:rsidRPr="009E05F6" w:rsidRDefault="004E5371" w:rsidP="004E5371">
      <w:pPr>
        <w:rPr>
          <w:sz w:val="22"/>
          <w:szCs w:val="22"/>
          <w:lang w:val="is-IS"/>
        </w:rPr>
      </w:pPr>
    </w:p>
    <w:p w14:paraId="1CCBF302" w14:textId="77777777" w:rsidR="004E5371" w:rsidRPr="009E05F6" w:rsidRDefault="004E5371" w:rsidP="004E5371">
      <w:pPr>
        <w:rPr>
          <w:sz w:val="22"/>
          <w:szCs w:val="22"/>
          <w:lang w:val="is-IS"/>
        </w:rPr>
      </w:pPr>
      <w:r w:rsidRPr="009E05F6">
        <w:rPr>
          <w:sz w:val="22"/>
          <w:szCs w:val="22"/>
          <w:lang w:val="is-IS"/>
        </w:rPr>
        <w:t>Gefa má dreifuna með mæli</w:t>
      </w:r>
      <w:r w:rsidRPr="009E05F6">
        <w:rPr>
          <w:sz w:val="22"/>
          <w:szCs w:val="22"/>
          <w:lang w:val="is-IS"/>
        </w:rPr>
        <w:softHyphen/>
        <w:t>sprautunni sem fylgir í pakkningunni. Mæli</w:t>
      </w:r>
      <w:r w:rsidRPr="009E05F6">
        <w:rPr>
          <w:sz w:val="22"/>
          <w:szCs w:val="22"/>
          <w:lang w:val="is-IS"/>
        </w:rPr>
        <w:softHyphen/>
        <w:t xml:space="preserve">sprautan passar á dropaskammtarann á </w:t>
      </w:r>
      <w:r>
        <w:rPr>
          <w:sz w:val="22"/>
          <w:szCs w:val="22"/>
          <w:lang w:val="is-IS"/>
        </w:rPr>
        <w:t>glasinu</w:t>
      </w:r>
      <w:r w:rsidRPr="009E05F6">
        <w:rPr>
          <w:sz w:val="22"/>
          <w:szCs w:val="22"/>
          <w:lang w:val="is-IS"/>
        </w:rPr>
        <w:t xml:space="preserve"> og hún er kvörðuð miðað við kg líkamsþunga sem svarar til viðhalds</w:t>
      </w:r>
      <w:r w:rsidRPr="009E05F6">
        <w:rPr>
          <w:sz w:val="22"/>
          <w:szCs w:val="22"/>
          <w:lang w:val="is-IS"/>
        </w:rPr>
        <w:softHyphen/>
        <w:t>skammtsins. Við upphaf meðferðar, á fyrsta deginum, þarf því tvöfalt rúmmál viðhaldsskammts.</w:t>
      </w:r>
    </w:p>
    <w:p w14:paraId="573659C9" w14:textId="77777777" w:rsidR="004E5371" w:rsidRPr="009E05F6" w:rsidRDefault="004E5371" w:rsidP="004E5371">
      <w:pPr>
        <w:rPr>
          <w:sz w:val="22"/>
          <w:szCs w:val="22"/>
          <w:lang w:val="is-IS"/>
        </w:rPr>
      </w:pPr>
    </w:p>
    <w:p w14:paraId="5B1F477D" w14:textId="77777777" w:rsidR="004E5371" w:rsidRPr="009E05F6" w:rsidRDefault="004E5371" w:rsidP="004E5371">
      <w:pPr>
        <w:rPr>
          <w:sz w:val="22"/>
          <w:szCs w:val="22"/>
          <w:lang w:val="is-IS"/>
        </w:rPr>
      </w:pPr>
      <w:r w:rsidRPr="009E05F6">
        <w:rPr>
          <w:sz w:val="22"/>
          <w:szCs w:val="22"/>
          <w:lang w:val="is-IS"/>
        </w:rPr>
        <w:t>Klínísk svörun sést yfirleitt innan 7 daga. Hætta skal með</w:t>
      </w:r>
      <w:r>
        <w:rPr>
          <w:sz w:val="22"/>
          <w:szCs w:val="22"/>
          <w:lang w:val="is-IS"/>
        </w:rPr>
        <w:t>ferð</w:t>
      </w:r>
      <w:r w:rsidRPr="009E05F6">
        <w:rPr>
          <w:sz w:val="22"/>
          <w:szCs w:val="22"/>
          <w:lang w:val="is-IS"/>
        </w:rPr>
        <w:t xml:space="preserve"> í síðasta lagi að liðnum 14 dögum ef enginn klínískur bati er sjáanlegur.</w:t>
      </w:r>
    </w:p>
    <w:p w14:paraId="5A066D96" w14:textId="77777777" w:rsidR="004E5371" w:rsidRPr="009E05F6" w:rsidRDefault="004E5371" w:rsidP="004E5371">
      <w:pPr>
        <w:rPr>
          <w:sz w:val="22"/>
          <w:szCs w:val="22"/>
          <w:lang w:val="is-IS"/>
        </w:rPr>
      </w:pPr>
    </w:p>
    <w:p w14:paraId="43A6F1E7" w14:textId="77777777" w:rsidR="004E5371" w:rsidRPr="009E05F6" w:rsidRDefault="004E5371" w:rsidP="004E5371">
      <w:pPr>
        <w:rPr>
          <w:sz w:val="22"/>
          <w:szCs w:val="22"/>
          <w:lang w:val="is-IS"/>
        </w:rPr>
      </w:pPr>
      <w:r w:rsidRPr="009E05F6">
        <w:rPr>
          <w:sz w:val="22"/>
          <w:szCs w:val="22"/>
          <w:lang w:val="is-IS"/>
        </w:rPr>
        <w:t>Þess skal gætt að lyfið mengist ekki við notkun.</w:t>
      </w:r>
    </w:p>
    <w:p w14:paraId="769AFFA9" w14:textId="77777777" w:rsidR="004E5371" w:rsidRPr="009E05F6" w:rsidRDefault="004E5371" w:rsidP="004E5371">
      <w:pPr>
        <w:rPr>
          <w:sz w:val="22"/>
          <w:szCs w:val="22"/>
          <w:lang w:val="is-IS"/>
        </w:rPr>
      </w:pPr>
    </w:p>
    <w:p w14:paraId="334EE0F2" w14:textId="77777777" w:rsidR="004E5371" w:rsidRPr="009E05F6" w:rsidRDefault="004E5371" w:rsidP="004E5371">
      <w:pPr>
        <w:outlineLvl w:val="0"/>
        <w:rPr>
          <w:b/>
          <w:sz w:val="22"/>
          <w:szCs w:val="22"/>
          <w:lang w:val="is-IS"/>
        </w:rPr>
      </w:pPr>
      <w:r w:rsidRPr="009E05F6">
        <w:rPr>
          <w:b/>
          <w:sz w:val="22"/>
          <w:szCs w:val="22"/>
          <w:lang w:val="is-IS"/>
        </w:rPr>
        <w:t>4.10</w:t>
      </w:r>
      <w:r w:rsidRPr="009E05F6">
        <w:rPr>
          <w:b/>
          <w:sz w:val="22"/>
          <w:szCs w:val="22"/>
          <w:lang w:val="is-IS"/>
        </w:rPr>
        <w:tab/>
        <w:t>Ofskömmtun (einkenni, bráðameðferð, móteitur) ef þörf krefur</w:t>
      </w:r>
    </w:p>
    <w:p w14:paraId="741862C7" w14:textId="77777777" w:rsidR="004E5371" w:rsidRPr="009E05F6" w:rsidRDefault="004E5371" w:rsidP="004E5371">
      <w:pPr>
        <w:rPr>
          <w:sz w:val="22"/>
          <w:szCs w:val="22"/>
          <w:lang w:val="is-IS"/>
        </w:rPr>
      </w:pPr>
    </w:p>
    <w:p w14:paraId="66925557" w14:textId="77777777" w:rsidR="004E5371" w:rsidRPr="009E05F6" w:rsidRDefault="004E5371" w:rsidP="004E5371">
      <w:pPr>
        <w:rPr>
          <w:sz w:val="22"/>
          <w:szCs w:val="22"/>
          <w:lang w:val="is-IS"/>
        </w:rPr>
      </w:pPr>
      <w:r w:rsidRPr="009E05F6">
        <w:rPr>
          <w:sz w:val="22"/>
          <w:szCs w:val="22"/>
          <w:lang w:val="is-IS"/>
        </w:rPr>
        <w:t>Skammtabil meloxicams hjá köttum er þröngt og klínísk einkenni ofskömmtunar geta komið fram við hlutfallslega litla ofskömmtun.</w:t>
      </w:r>
    </w:p>
    <w:p w14:paraId="16E0DDEC" w14:textId="77777777" w:rsidR="004E5371" w:rsidRPr="009E05F6" w:rsidRDefault="004E5371" w:rsidP="004E5371">
      <w:pPr>
        <w:rPr>
          <w:sz w:val="22"/>
          <w:szCs w:val="22"/>
          <w:lang w:val="is-IS"/>
        </w:rPr>
      </w:pPr>
      <w:r w:rsidRPr="009E05F6">
        <w:rPr>
          <w:sz w:val="22"/>
          <w:szCs w:val="22"/>
          <w:lang w:val="is-IS"/>
        </w:rPr>
        <w:t>Eigi ofskömmtun sér stað er gert ráð fyrir að aukaverkanir sem tilgreindar eru í kafla 4.6 verði alvarlegri og algengari. Við ofskömmtun skal meðhöndla í samræmi við einkenni.</w:t>
      </w:r>
    </w:p>
    <w:p w14:paraId="4BAE6F1D" w14:textId="77777777" w:rsidR="004E5371" w:rsidRPr="009E05F6" w:rsidRDefault="004E5371" w:rsidP="004E5371">
      <w:pPr>
        <w:rPr>
          <w:sz w:val="22"/>
          <w:szCs w:val="22"/>
          <w:lang w:val="is-IS"/>
        </w:rPr>
      </w:pPr>
    </w:p>
    <w:p w14:paraId="7DE99734" w14:textId="77777777" w:rsidR="004E5371" w:rsidRPr="009E05F6" w:rsidRDefault="004E5371" w:rsidP="004E5371">
      <w:pPr>
        <w:outlineLvl w:val="0"/>
        <w:rPr>
          <w:b/>
          <w:sz w:val="22"/>
          <w:szCs w:val="22"/>
          <w:lang w:val="is-IS"/>
        </w:rPr>
      </w:pPr>
      <w:r w:rsidRPr="009E05F6">
        <w:rPr>
          <w:b/>
          <w:sz w:val="22"/>
          <w:szCs w:val="22"/>
          <w:lang w:val="is-IS"/>
        </w:rPr>
        <w:t>4.11</w:t>
      </w:r>
      <w:r w:rsidRPr="009E05F6">
        <w:rPr>
          <w:b/>
          <w:sz w:val="22"/>
          <w:szCs w:val="22"/>
          <w:lang w:val="is-IS"/>
        </w:rPr>
        <w:tab/>
        <w:t>Biðtími fyrir afurðanýtingu</w:t>
      </w:r>
    </w:p>
    <w:p w14:paraId="055AA6C5" w14:textId="77777777" w:rsidR="004E5371" w:rsidRPr="009E05F6" w:rsidRDefault="004E5371" w:rsidP="004E5371">
      <w:pPr>
        <w:rPr>
          <w:sz w:val="22"/>
          <w:szCs w:val="22"/>
          <w:lang w:val="is-IS"/>
        </w:rPr>
      </w:pPr>
    </w:p>
    <w:p w14:paraId="01BC973B" w14:textId="77777777" w:rsidR="004E5371" w:rsidRPr="009E05F6" w:rsidRDefault="004E5371" w:rsidP="004E5371">
      <w:pPr>
        <w:rPr>
          <w:sz w:val="22"/>
          <w:szCs w:val="22"/>
          <w:lang w:val="is-IS"/>
        </w:rPr>
      </w:pPr>
      <w:r w:rsidRPr="009E05F6">
        <w:rPr>
          <w:sz w:val="22"/>
          <w:szCs w:val="22"/>
          <w:lang w:val="is-IS"/>
        </w:rPr>
        <w:t>Á ekki við.</w:t>
      </w:r>
    </w:p>
    <w:p w14:paraId="3B0266BC" w14:textId="77777777" w:rsidR="004E5371" w:rsidRPr="009E05F6" w:rsidRDefault="004E5371" w:rsidP="004E5371">
      <w:pPr>
        <w:rPr>
          <w:sz w:val="22"/>
          <w:szCs w:val="22"/>
          <w:lang w:val="is-IS"/>
        </w:rPr>
      </w:pPr>
    </w:p>
    <w:p w14:paraId="662C0BE5" w14:textId="77777777" w:rsidR="004E5371" w:rsidRPr="009E05F6" w:rsidRDefault="004E5371" w:rsidP="004E5371">
      <w:pPr>
        <w:rPr>
          <w:sz w:val="22"/>
          <w:szCs w:val="22"/>
          <w:lang w:val="is-IS"/>
        </w:rPr>
      </w:pPr>
    </w:p>
    <w:p w14:paraId="42D1399E" w14:textId="77777777" w:rsidR="004E5371" w:rsidRPr="009E05F6" w:rsidRDefault="004E5371" w:rsidP="004E5371">
      <w:pPr>
        <w:outlineLvl w:val="0"/>
        <w:rPr>
          <w:b/>
          <w:sz w:val="22"/>
          <w:szCs w:val="22"/>
          <w:lang w:val="is-IS"/>
        </w:rPr>
      </w:pPr>
      <w:r w:rsidRPr="009E05F6">
        <w:rPr>
          <w:b/>
          <w:sz w:val="22"/>
          <w:szCs w:val="22"/>
          <w:lang w:val="is-IS"/>
        </w:rPr>
        <w:t>5.</w:t>
      </w:r>
      <w:r w:rsidRPr="009E05F6">
        <w:rPr>
          <w:b/>
          <w:sz w:val="22"/>
          <w:szCs w:val="22"/>
          <w:lang w:val="is-IS"/>
        </w:rPr>
        <w:tab/>
        <w:t>LYFJAFRÆÐILEGAR UPPLÝSINGAR</w:t>
      </w:r>
    </w:p>
    <w:p w14:paraId="6F9C2BAD" w14:textId="77777777" w:rsidR="004E5371" w:rsidRPr="009E05F6" w:rsidRDefault="004E5371" w:rsidP="004E5371">
      <w:pPr>
        <w:rPr>
          <w:sz w:val="22"/>
          <w:szCs w:val="22"/>
          <w:lang w:val="is-IS"/>
        </w:rPr>
      </w:pPr>
    </w:p>
    <w:p w14:paraId="55447E69" w14:textId="77777777" w:rsidR="004E5371" w:rsidRPr="009E05F6" w:rsidRDefault="004E5371" w:rsidP="004E5371">
      <w:pPr>
        <w:rPr>
          <w:sz w:val="22"/>
          <w:szCs w:val="22"/>
          <w:lang w:val="is-IS"/>
        </w:rPr>
      </w:pPr>
      <w:r w:rsidRPr="009E05F6">
        <w:rPr>
          <w:sz w:val="22"/>
          <w:szCs w:val="22"/>
          <w:lang w:val="is-IS"/>
        </w:rPr>
        <w:t xml:space="preserve">Flokkun eftir verkun: </w:t>
      </w:r>
      <w:r>
        <w:rPr>
          <w:sz w:val="22"/>
          <w:szCs w:val="22"/>
          <w:lang w:val="is-IS"/>
        </w:rPr>
        <w:t>Stoðkerfi, b</w:t>
      </w:r>
      <w:r w:rsidRPr="009E05F6">
        <w:rPr>
          <w:sz w:val="22"/>
          <w:szCs w:val="22"/>
          <w:lang w:val="is-IS"/>
        </w:rPr>
        <w:t xml:space="preserve">ólgueyðandi lyf og verkjalyf, nema </w:t>
      </w:r>
      <w:r>
        <w:rPr>
          <w:sz w:val="22"/>
          <w:szCs w:val="22"/>
          <w:lang w:val="is-IS"/>
        </w:rPr>
        <w:t>bark</w:t>
      </w:r>
      <w:r w:rsidRPr="009E05F6">
        <w:rPr>
          <w:sz w:val="22"/>
          <w:szCs w:val="22"/>
          <w:lang w:val="is-IS"/>
        </w:rPr>
        <w:t xml:space="preserve">sterar. </w:t>
      </w:r>
    </w:p>
    <w:p w14:paraId="3FB27802" w14:textId="77777777" w:rsidR="004E5371" w:rsidRPr="009E05F6" w:rsidRDefault="004E5371" w:rsidP="004E5371">
      <w:pPr>
        <w:rPr>
          <w:sz w:val="22"/>
          <w:szCs w:val="22"/>
          <w:lang w:val="is-IS"/>
        </w:rPr>
      </w:pPr>
      <w:r w:rsidRPr="009E05F6">
        <w:rPr>
          <w:sz w:val="22"/>
          <w:szCs w:val="22"/>
          <w:lang w:val="is-IS"/>
        </w:rPr>
        <w:t>ATCvet flokkur: QM01AC06.</w:t>
      </w:r>
    </w:p>
    <w:p w14:paraId="3CB2B3DA" w14:textId="77777777" w:rsidR="004E5371" w:rsidRPr="009E05F6" w:rsidRDefault="004E5371" w:rsidP="004E5371">
      <w:pPr>
        <w:ind w:left="567" w:hanging="567"/>
        <w:rPr>
          <w:sz w:val="22"/>
          <w:szCs w:val="22"/>
          <w:lang w:val="is-IS"/>
        </w:rPr>
      </w:pPr>
    </w:p>
    <w:p w14:paraId="2EAA84D8" w14:textId="77777777" w:rsidR="004E5371" w:rsidRPr="009E05F6" w:rsidRDefault="004E5371" w:rsidP="004E5371">
      <w:pPr>
        <w:outlineLvl w:val="0"/>
        <w:rPr>
          <w:b/>
          <w:sz w:val="22"/>
          <w:szCs w:val="22"/>
          <w:lang w:val="is-IS"/>
        </w:rPr>
      </w:pPr>
      <w:r w:rsidRPr="009E05F6">
        <w:rPr>
          <w:b/>
          <w:sz w:val="22"/>
          <w:szCs w:val="22"/>
          <w:lang w:val="is-IS"/>
        </w:rPr>
        <w:t>5.1</w:t>
      </w:r>
      <w:r w:rsidRPr="009E05F6">
        <w:rPr>
          <w:b/>
          <w:sz w:val="22"/>
          <w:szCs w:val="22"/>
          <w:lang w:val="is-IS"/>
        </w:rPr>
        <w:tab/>
        <w:t>Lyfhrif</w:t>
      </w:r>
    </w:p>
    <w:p w14:paraId="5EB7135B" w14:textId="77777777" w:rsidR="004E5371" w:rsidRPr="009E05F6" w:rsidRDefault="004E5371" w:rsidP="004E5371">
      <w:pPr>
        <w:rPr>
          <w:sz w:val="22"/>
          <w:szCs w:val="22"/>
          <w:lang w:val="is-IS"/>
        </w:rPr>
      </w:pPr>
    </w:p>
    <w:p w14:paraId="306E6F70" w14:textId="77777777" w:rsidR="004E5371" w:rsidRPr="009E05F6" w:rsidRDefault="004E5371" w:rsidP="004E5371">
      <w:pPr>
        <w:rPr>
          <w:sz w:val="22"/>
          <w:szCs w:val="22"/>
          <w:lang w:val="is-IS"/>
        </w:rPr>
      </w:pPr>
      <w:r w:rsidRPr="009E05F6">
        <w:rPr>
          <w:sz w:val="22"/>
          <w:szCs w:val="22"/>
          <w:lang w:val="is-IS"/>
        </w:rPr>
        <w:t>Meloxicam er bólgueyðandi verkjalyf (NSAID) af flokki oxicama, sem verkar með því að hindra nýmyndun prostaglandina og hefur þar með bólgueyðandi, verkjastillandi, bjúghemjandi og hita</w:t>
      </w:r>
      <w:r w:rsidRPr="009E05F6">
        <w:rPr>
          <w:sz w:val="22"/>
          <w:szCs w:val="22"/>
          <w:lang w:val="is-IS"/>
        </w:rPr>
        <w:softHyphen/>
        <w:t>lækkandi verkun. Það dregur úr íferð hvítra blóðkorna inn í bólguvef. Ennfremur hemur það í tak</w:t>
      </w:r>
      <w:r w:rsidRPr="009E05F6">
        <w:rPr>
          <w:sz w:val="22"/>
          <w:szCs w:val="22"/>
          <w:lang w:val="is-IS"/>
        </w:rPr>
        <w:softHyphen/>
        <w:t xml:space="preserve">mörkuðum mæli samsöfnun blóðflagna vegna áhrifa frá kollageni. Í </w:t>
      </w:r>
      <w:r w:rsidRPr="009E05F6">
        <w:rPr>
          <w:i/>
          <w:sz w:val="22"/>
          <w:szCs w:val="22"/>
          <w:lang w:val="is-IS"/>
        </w:rPr>
        <w:t>in vitro</w:t>
      </w:r>
      <w:r w:rsidRPr="009E05F6">
        <w:rPr>
          <w:sz w:val="22"/>
          <w:szCs w:val="22"/>
          <w:lang w:val="is-IS"/>
        </w:rPr>
        <w:t xml:space="preserve"> og </w:t>
      </w:r>
      <w:r w:rsidRPr="009E05F6">
        <w:rPr>
          <w:i/>
          <w:sz w:val="22"/>
          <w:szCs w:val="22"/>
          <w:lang w:val="is-IS"/>
        </w:rPr>
        <w:t>in vivo</w:t>
      </w:r>
      <w:r w:rsidRPr="009E05F6">
        <w:rPr>
          <w:sz w:val="22"/>
          <w:szCs w:val="22"/>
          <w:lang w:val="is-IS"/>
        </w:rPr>
        <w:t xml:space="preserve"> rannsóknum var sýnt fram á að hömlun meloxicams á cyclooxygenasa</w:t>
      </w:r>
      <w:r w:rsidRPr="009E05F6">
        <w:rPr>
          <w:sz w:val="22"/>
          <w:szCs w:val="22"/>
          <w:lang w:val="is-IS"/>
        </w:rPr>
        <w:noBreakHyphen/>
        <w:t>2 (COX</w:t>
      </w:r>
      <w:r w:rsidRPr="009E05F6">
        <w:rPr>
          <w:sz w:val="22"/>
          <w:szCs w:val="22"/>
          <w:lang w:val="is-IS"/>
        </w:rPr>
        <w:noBreakHyphen/>
        <w:t>2) er meiri en á cyclooxygenasa</w:t>
      </w:r>
      <w:r w:rsidRPr="009E05F6">
        <w:rPr>
          <w:sz w:val="22"/>
          <w:szCs w:val="22"/>
          <w:lang w:val="is-IS"/>
        </w:rPr>
        <w:noBreakHyphen/>
        <w:t>1 (COX</w:t>
      </w:r>
      <w:r w:rsidRPr="009E05F6">
        <w:rPr>
          <w:sz w:val="22"/>
          <w:szCs w:val="22"/>
          <w:lang w:val="is-IS"/>
        </w:rPr>
        <w:noBreakHyphen/>
        <w:t>1).</w:t>
      </w:r>
    </w:p>
    <w:p w14:paraId="17B5EC50" w14:textId="77777777" w:rsidR="004E5371" w:rsidRPr="009E05F6" w:rsidRDefault="004E5371" w:rsidP="004E5371">
      <w:pPr>
        <w:rPr>
          <w:sz w:val="22"/>
          <w:szCs w:val="22"/>
          <w:lang w:val="is-IS"/>
        </w:rPr>
      </w:pPr>
    </w:p>
    <w:p w14:paraId="39377D9F" w14:textId="77777777" w:rsidR="004E5371" w:rsidRPr="009E05F6" w:rsidRDefault="004E5371" w:rsidP="004E5371">
      <w:pPr>
        <w:outlineLvl w:val="0"/>
        <w:rPr>
          <w:b/>
          <w:sz w:val="22"/>
          <w:szCs w:val="22"/>
          <w:lang w:val="is-IS"/>
        </w:rPr>
      </w:pPr>
      <w:r w:rsidRPr="009E05F6">
        <w:rPr>
          <w:b/>
          <w:sz w:val="22"/>
          <w:szCs w:val="22"/>
          <w:lang w:val="is-IS"/>
        </w:rPr>
        <w:t>5.2</w:t>
      </w:r>
      <w:r w:rsidRPr="009E05F6">
        <w:rPr>
          <w:b/>
          <w:sz w:val="22"/>
          <w:szCs w:val="22"/>
          <w:lang w:val="is-IS"/>
        </w:rPr>
        <w:tab/>
        <w:t>Lyfjahvörf</w:t>
      </w:r>
    </w:p>
    <w:p w14:paraId="20DB1E52" w14:textId="77777777" w:rsidR="004E5371" w:rsidRPr="009E05F6" w:rsidRDefault="004E5371" w:rsidP="004E5371">
      <w:pPr>
        <w:rPr>
          <w:sz w:val="22"/>
          <w:szCs w:val="22"/>
          <w:lang w:val="is-IS"/>
        </w:rPr>
      </w:pPr>
    </w:p>
    <w:p w14:paraId="1126F64D" w14:textId="77777777" w:rsidR="004E5371" w:rsidRPr="009E05F6" w:rsidRDefault="004E5371" w:rsidP="004E5371">
      <w:pPr>
        <w:rPr>
          <w:sz w:val="22"/>
          <w:szCs w:val="22"/>
          <w:u w:val="single"/>
          <w:lang w:val="is-IS"/>
        </w:rPr>
      </w:pPr>
      <w:r w:rsidRPr="009E05F6">
        <w:rPr>
          <w:sz w:val="22"/>
          <w:szCs w:val="22"/>
          <w:u w:val="single"/>
          <w:lang w:val="is-IS"/>
        </w:rPr>
        <w:t>Frásog</w:t>
      </w:r>
    </w:p>
    <w:p w14:paraId="1EC39887" w14:textId="77777777" w:rsidR="004E5371" w:rsidRPr="009E05F6" w:rsidRDefault="004E5371" w:rsidP="004E5371">
      <w:pPr>
        <w:rPr>
          <w:sz w:val="22"/>
          <w:szCs w:val="22"/>
          <w:lang w:val="is-IS"/>
        </w:rPr>
      </w:pPr>
      <w:r w:rsidRPr="009E05F6">
        <w:rPr>
          <w:sz w:val="22"/>
          <w:szCs w:val="22"/>
          <w:lang w:val="is-IS"/>
        </w:rPr>
        <w:t>Ef dýrið er fastandi þegar lyfið er gefið næst hámarksþéttni í plasma eftir um það bil 3 klst. Ef dýrið er ekki fastandi þegar lyfið er gefið má vera að frásogi seinki lítið eitt.</w:t>
      </w:r>
    </w:p>
    <w:p w14:paraId="50BF417E" w14:textId="77777777" w:rsidR="004E5371" w:rsidRPr="009E05F6" w:rsidRDefault="004E5371" w:rsidP="004E5371">
      <w:pPr>
        <w:rPr>
          <w:sz w:val="22"/>
          <w:szCs w:val="22"/>
          <w:lang w:val="is-IS"/>
        </w:rPr>
      </w:pPr>
    </w:p>
    <w:p w14:paraId="54405F6E" w14:textId="77777777" w:rsidR="004E5371" w:rsidRPr="009E05F6" w:rsidRDefault="004E5371" w:rsidP="004E5371">
      <w:pPr>
        <w:rPr>
          <w:sz w:val="22"/>
          <w:szCs w:val="22"/>
          <w:u w:val="single"/>
          <w:lang w:val="is-IS"/>
        </w:rPr>
      </w:pPr>
      <w:r w:rsidRPr="009E05F6">
        <w:rPr>
          <w:sz w:val="22"/>
          <w:szCs w:val="22"/>
          <w:u w:val="single"/>
          <w:lang w:val="is-IS"/>
        </w:rPr>
        <w:t>Dreifing</w:t>
      </w:r>
    </w:p>
    <w:p w14:paraId="4499E4F0" w14:textId="77777777" w:rsidR="004E5371" w:rsidRPr="009E05F6" w:rsidRDefault="004E5371" w:rsidP="004E5371">
      <w:pPr>
        <w:rPr>
          <w:sz w:val="22"/>
          <w:szCs w:val="22"/>
          <w:lang w:val="is-IS"/>
        </w:rPr>
      </w:pPr>
      <w:r w:rsidRPr="009E05F6">
        <w:rPr>
          <w:sz w:val="22"/>
          <w:szCs w:val="22"/>
          <w:lang w:val="is-IS"/>
        </w:rPr>
        <w:t>Á ráðlögðu skammtabili eru línuleg tengsl milli gefins skammts og plasmaþéttni. Um það bil 97% af meloxicami eru bundin plasmapróteinum.</w:t>
      </w:r>
    </w:p>
    <w:p w14:paraId="5EF0AD31" w14:textId="77777777" w:rsidR="004E5371" w:rsidRPr="009E05F6" w:rsidRDefault="004E5371" w:rsidP="004E5371">
      <w:pPr>
        <w:rPr>
          <w:sz w:val="22"/>
          <w:szCs w:val="22"/>
          <w:lang w:val="is-IS"/>
        </w:rPr>
      </w:pPr>
    </w:p>
    <w:p w14:paraId="5231211E" w14:textId="77777777" w:rsidR="004E5371" w:rsidRPr="009E05F6" w:rsidRDefault="004E5371" w:rsidP="004E5371">
      <w:pPr>
        <w:rPr>
          <w:sz w:val="22"/>
          <w:szCs w:val="22"/>
          <w:u w:val="single"/>
          <w:lang w:val="is-IS"/>
        </w:rPr>
      </w:pPr>
      <w:r w:rsidRPr="009E05F6">
        <w:rPr>
          <w:sz w:val="22"/>
          <w:szCs w:val="22"/>
          <w:u w:val="single"/>
          <w:lang w:val="is-IS"/>
        </w:rPr>
        <w:t>Umbrot</w:t>
      </w:r>
    </w:p>
    <w:p w14:paraId="41D06074" w14:textId="77777777" w:rsidR="004E5371" w:rsidRPr="009E05F6" w:rsidRDefault="004E5371" w:rsidP="004E5371">
      <w:pPr>
        <w:rPr>
          <w:sz w:val="22"/>
          <w:szCs w:val="22"/>
          <w:lang w:val="is-IS"/>
        </w:rPr>
      </w:pPr>
      <w:r w:rsidRPr="009E05F6">
        <w:rPr>
          <w:sz w:val="22"/>
          <w:szCs w:val="22"/>
          <w:lang w:val="is-IS"/>
        </w:rPr>
        <w:t>Meloxicam finnst að langmestu leyti í plasma og skilst einnig að verulegu leyti út á óbreyttu formi í galli en einungis mjög lítið af lyfinu á óbreyttu formi finnst í þvagi. Meloxicam umbrotnar í alkóhól, sýruafleiðu og í nokkur skautuð umbrotsefni. Sýnt hefur verið fram á að öll helstu umbrotsefnin eru lyfjafræðilega óvirk.</w:t>
      </w:r>
    </w:p>
    <w:p w14:paraId="721112D6" w14:textId="77777777" w:rsidR="004E5371" w:rsidRPr="009B179C" w:rsidRDefault="004E5371" w:rsidP="004E5371">
      <w:pPr>
        <w:rPr>
          <w:rFonts w:eastAsia="SimSun"/>
          <w:sz w:val="22"/>
          <w:szCs w:val="22"/>
          <w:u w:val="single"/>
          <w:lang w:val="is-IS" w:eastAsia="zh-CN"/>
        </w:rPr>
      </w:pPr>
      <w:r w:rsidRPr="009B179C">
        <w:rPr>
          <w:rFonts w:eastAsia="SimSun"/>
          <w:sz w:val="22"/>
          <w:szCs w:val="22"/>
          <w:u w:val="single"/>
          <w:lang w:val="is-IS" w:eastAsia="zh-CN"/>
        </w:rPr>
        <w:t>Hvað varðar aðrar dýrategundir sem hafa verið rannsakaðar, reyndist megin umbrotaleið meloxicams vera oxun hjá köttum.</w:t>
      </w:r>
    </w:p>
    <w:p w14:paraId="140C8DA3" w14:textId="77777777" w:rsidR="004E5371" w:rsidRPr="009E05F6" w:rsidRDefault="004E5371" w:rsidP="004E5371">
      <w:pPr>
        <w:rPr>
          <w:sz w:val="22"/>
          <w:szCs w:val="22"/>
          <w:lang w:val="is-IS"/>
        </w:rPr>
      </w:pPr>
    </w:p>
    <w:p w14:paraId="40A25D4A" w14:textId="77777777" w:rsidR="004E5371" w:rsidRPr="009E05F6" w:rsidRDefault="004E5371" w:rsidP="004E5371">
      <w:pPr>
        <w:rPr>
          <w:sz w:val="22"/>
          <w:szCs w:val="22"/>
          <w:u w:val="single"/>
          <w:lang w:val="is-IS"/>
        </w:rPr>
      </w:pPr>
      <w:r w:rsidRPr="009E05F6">
        <w:rPr>
          <w:sz w:val="22"/>
          <w:szCs w:val="22"/>
          <w:u w:val="single"/>
          <w:lang w:val="is-IS"/>
        </w:rPr>
        <w:t>Brotthvarf</w:t>
      </w:r>
    </w:p>
    <w:p w14:paraId="2FE1A6C4" w14:textId="77777777" w:rsidR="004E5371" w:rsidRPr="009E05F6" w:rsidRDefault="004E5371" w:rsidP="004E5371">
      <w:pPr>
        <w:rPr>
          <w:sz w:val="22"/>
          <w:szCs w:val="22"/>
          <w:lang w:val="is-IS"/>
        </w:rPr>
      </w:pPr>
      <w:r w:rsidRPr="009E05F6">
        <w:rPr>
          <w:sz w:val="22"/>
          <w:szCs w:val="22"/>
          <w:lang w:val="is-IS"/>
        </w:rPr>
        <w:t xml:space="preserve">Helmingunartími brotthvarfs meloxicams er 24 klst. </w:t>
      </w:r>
      <w:r>
        <w:rPr>
          <w:sz w:val="22"/>
          <w:szCs w:val="22"/>
          <w:lang w:val="is-IS"/>
        </w:rPr>
        <w:t>Umbrotsefni móðurefnisins greinast í þvagi og hægðum en ekki plasma og gefur það til kynna hraðan útskilnað þeirra</w:t>
      </w:r>
      <w:r w:rsidRPr="009B179C">
        <w:rPr>
          <w:sz w:val="22"/>
          <w:szCs w:val="22"/>
          <w:lang w:val="is-IS"/>
        </w:rPr>
        <w:t xml:space="preserve">. </w:t>
      </w:r>
      <w:r w:rsidRPr="009E05F6">
        <w:rPr>
          <w:sz w:val="22"/>
          <w:szCs w:val="22"/>
          <w:lang w:val="is-IS"/>
        </w:rPr>
        <w:t xml:space="preserve">Brotthvarf um það bil 75% af gefnum skammti verður í saur og afgangurinn í þvagi. </w:t>
      </w:r>
    </w:p>
    <w:p w14:paraId="7EC78098" w14:textId="77777777" w:rsidR="004E5371" w:rsidRPr="009E05F6" w:rsidRDefault="004E5371" w:rsidP="004E5371">
      <w:pPr>
        <w:rPr>
          <w:sz w:val="22"/>
          <w:szCs w:val="22"/>
          <w:lang w:val="is-IS"/>
        </w:rPr>
      </w:pPr>
    </w:p>
    <w:p w14:paraId="469D4DCA" w14:textId="77777777" w:rsidR="004E5371" w:rsidRPr="009E05F6" w:rsidRDefault="004E5371" w:rsidP="004E5371">
      <w:pPr>
        <w:rPr>
          <w:sz w:val="22"/>
          <w:szCs w:val="22"/>
          <w:lang w:val="is-IS"/>
        </w:rPr>
      </w:pPr>
    </w:p>
    <w:p w14:paraId="1BBE20EB" w14:textId="77777777" w:rsidR="004E5371" w:rsidRPr="009E05F6" w:rsidRDefault="004E5371" w:rsidP="004E5371">
      <w:pPr>
        <w:keepNext/>
        <w:outlineLvl w:val="0"/>
        <w:rPr>
          <w:b/>
          <w:sz w:val="22"/>
          <w:szCs w:val="22"/>
          <w:lang w:val="is-IS"/>
        </w:rPr>
      </w:pPr>
      <w:r w:rsidRPr="009E05F6">
        <w:rPr>
          <w:b/>
          <w:sz w:val="22"/>
          <w:szCs w:val="22"/>
          <w:lang w:val="is-IS"/>
        </w:rPr>
        <w:t>6.</w:t>
      </w:r>
      <w:r w:rsidRPr="009E05F6">
        <w:rPr>
          <w:b/>
          <w:sz w:val="22"/>
          <w:szCs w:val="22"/>
          <w:lang w:val="is-IS"/>
        </w:rPr>
        <w:tab/>
        <w:t>LYFJAGERÐARFRÆÐILEGAR UPPLÝSINGAR</w:t>
      </w:r>
    </w:p>
    <w:p w14:paraId="68018560" w14:textId="77777777" w:rsidR="004E5371" w:rsidRPr="009E05F6" w:rsidRDefault="004E5371" w:rsidP="004E5371">
      <w:pPr>
        <w:rPr>
          <w:sz w:val="22"/>
          <w:szCs w:val="22"/>
          <w:lang w:val="is-IS"/>
        </w:rPr>
      </w:pPr>
    </w:p>
    <w:p w14:paraId="1D66A1F2" w14:textId="77777777" w:rsidR="004E5371" w:rsidRPr="009E05F6" w:rsidRDefault="004E5371" w:rsidP="004E5371">
      <w:pPr>
        <w:outlineLvl w:val="0"/>
        <w:rPr>
          <w:b/>
          <w:sz w:val="22"/>
          <w:szCs w:val="22"/>
          <w:lang w:val="is-IS"/>
        </w:rPr>
      </w:pPr>
      <w:r w:rsidRPr="009E05F6">
        <w:rPr>
          <w:b/>
          <w:sz w:val="22"/>
          <w:szCs w:val="22"/>
          <w:lang w:val="is-IS"/>
        </w:rPr>
        <w:t>6.1</w:t>
      </w:r>
      <w:r w:rsidRPr="009E05F6">
        <w:rPr>
          <w:b/>
          <w:sz w:val="22"/>
          <w:szCs w:val="22"/>
          <w:lang w:val="is-IS"/>
        </w:rPr>
        <w:tab/>
        <w:t>Hjálparefni</w:t>
      </w:r>
    </w:p>
    <w:p w14:paraId="055F943D" w14:textId="77777777" w:rsidR="004E5371" w:rsidRPr="009E05F6" w:rsidRDefault="004E5371" w:rsidP="004E5371">
      <w:pPr>
        <w:outlineLvl w:val="0"/>
        <w:rPr>
          <w:b/>
          <w:sz w:val="22"/>
          <w:szCs w:val="22"/>
          <w:lang w:val="is-IS"/>
        </w:rPr>
      </w:pPr>
    </w:p>
    <w:p w14:paraId="3EC69B09" w14:textId="77777777" w:rsidR="004E5371" w:rsidRPr="009E05F6" w:rsidRDefault="004E5371" w:rsidP="004E5371">
      <w:pPr>
        <w:rPr>
          <w:sz w:val="22"/>
          <w:szCs w:val="22"/>
          <w:lang w:val="is-IS"/>
        </w:rPr>
      </w:pPr>
      <w:r w:rsidRPr="009E05F6">
        <w:rPr>
          <w:sz w:val="22"/>
          <w:szCs w:val="22"/>
          <w:lang w:val="is-IS"/>
        </w:rPr>
        <w:t>- Natríumbenzoat</w:t>
      </w:r>
    </w:p>
    <w:p w14:paraId="64368EEB" w14:textId="77777777" w:rsidR="004E5371" w:rsidRPr="009E05F6" w:rsidRDefault="004E5371" w:rsidP="004E5371">
      <w:pPr>
        <w:rPr>
          <w:sz w:val="22"/>
          <w:szCs w:val="22"/>
          <w:lang w:val="is-IS"/>
        </w:rPr>
      </w:pPr>
      <w:r w:rsidRPr="009E05F6">
        <w:rPr>
          <w:sz w:val="22"/>
          <w:szCs w:val="22"/>
          <w:lang w:val="is-IS"/>
        </w:rPr>
        <w:t>- Sorbitól</w:t>
      </w:r>
    </w:p>
    <w:p w14:paraId="1C15C7BB" w14:textId="77777777" w:rsidR="004E5371" w:rsidRPr="009E05F6" w:rsidRDefault="004E5371" w:rsidP="004E5371">
      <w:pPr>
        <w:rPr>
          <w:sz w:val="22"/>
          <w:szCs w:val="22"/>
          <w:lang w:val="is-IS"/>
        </w:rPr>
      </w:pPr>
      <w:r w:rsidRPr="009E05F6">
        <w:rPr>
          <w:sz w:val="22"/>
          <w:szCs w:val="22"/>
          <w:lang w:val="is-IS"/>
        </w:rPr>
        <w:t>- Glýseról</w:t>
      </w:r>
    </w:p>
    <w:p w14:paraId="0A9C1C2A" w14:textId="77777777" w:rsidR="004E5371" w:rsidRPr="009E05F6" w:rsidRDefault="004E5371" w:rsidP="004E5371">
      <w:pPr>
        <w:rPr>
          <w:sz w:val="22"/>
          <w:szCs w:val="22"/>
          <w:lang w:val="is-IS"/>
        </w:rPr>
      </w:pPr>
      <w:r w:rsidRPr="009E05F6">
        <w:rPr>
          <w:sz w:val="22"/>
          <w:szCs w:val="22"/>
          <w:lang w:val="is-IS"/>
        </w:rPr>
        <w:t>- Pólýsorbat 80</w:t>
      </w:r>
    </w:p>
    <w:p w14:paraId="21F138D2" w14:textId="77777777" w:rsidR="004E5371" w:rsidRPr="009E05F6" w:rsidRDefault="004E5371" w:rsidP="004E5371">
      <w:pPr>
        <w:rPr>
          <w:sz w:val="22"/>
          <w:szCs w:val="22"/>
          <w:lang w:val="is-IS"/>
        </w:rPr>
      </w:pPr>
      <w:r w:rsidRPr="009E05F6">
        <w:rPr>
          <w:sz w:val="22"/>
          <w:szCs w:val="22"/>
          <w:lang w:val="is-IS"/>
        </w:rPr>
        <w:t>- Tvínatríum fosfat dódekahýdrat</w:t>
      </w:r>
    </w:p>
    <w:p w14:paraId="3E1DA7A8" w14:textId="77777777" w:rsidR="004E5371" w:rsidRPr="009E05F6" w:rsidRDefault="004E5371" w:rsidP="004E5371">
      <w:pPr>
        <w:rPr>
          <w:sz w:val="22"/>
          <w:szCs w:val="22"/>
          <w:lang w:val="is-IS"/>
        </w:rPr>
      </w:pPr>
      <w:r w:rsidRPr="009E05F6">
        <w:rPr>
          <w:sz w:val="22"/>
          <w:szCs w:val="22"/>
          <w:lang w:val="is-IS"/>
        </w:rPr>
        <w:t>- Vatnsfrí kísilkvoða</w:t>
      </w:r>
    </w:p>
    <w:p w14:paraId="12B5A9EE" w14:textId="77777777" w:rsidR="004E5371" w:rsidRPr="009E05F6" w:rsidRDefault="004E5371" w:rsidP="004E5371">
      <w:pPr>
        <w:rPr>
          <w:sz w:val="22"/>
          <w:szCs w:val="22"/>
          <w:lang w:val="is-IS"/>
        </w:rPr>
      </w:pPr>
      <w:r w:rsidRPr="009E05F6">
        <w:rPr>
          <w:sz w:val="22"/>
          <w:szCs w:val="22"/>
          <w:lang w:val="is-IS"/>
        </w:rPr>
        <w:t>- Hýdroxýetýlsellulósa</w:t>
      </w:r>
    </w:p>
    <w:p w14:paraId="5E44D764" w14:textId="77777777" w:rsidR="004E5371" w:rsidRPr="009E05F6" w:rsidRDefault="004E5371" w:rsidP="004E5371">
      <w:pPr>
        <w:rPr>
          <w:sz w:val="22"/>
          <w:szCs w:val="22"/>
          <w:lang w:val="is-IS"/>
        </w:rPr>
      </w:pPr>
      <w:r w:rsidRPr="009E05F6">
        <w:rPr>
          <w:sz w:val="22"/>
          <w:szCs w:val="22"/>
          <w:lang w:val="is-IS"/>
        </w:rPr>
        <w:t>- Sítrónusýrueinhýdrat</w:t>
      </w:r>
    </w:p>
    <w:p w14:paraId="1207FF8E" w14:textId="77777777" w:rsidR="004E5371" w:rsidRPr="009E05F6" w:rsidRDefault="004E5371" w:rsidP="004E5371">
      <w:pPr>
        <w:rPr>
          <w:sz w:val="22"/>
          <w:szCs w:val="22"/>
          <w:lang w:val="is-IS"/>
        </w:rPr>
      </w:pPr>
      <w:r w:rsidRPr="009E05F6">
        <w:rPr>
          <w:sz w:val="22"/>
          <w:szCs w:val="22"/>
          <w:lang w:val="is-IS"/>
        </w:rPr>
        <w:t>- Natríum cýklamat</w:t>
      </w:r>
    </w:p>
    <w:p w14:paraId="57E3B776" w14:textId="77777777" w:rsidR="004E5371" w:rsidRPr="009E05F6" w:rsidRDefault="004E5371" w:rsidP="004E5371">
      <w:pPr>
        <w:rPr>
          <w:sz w:val="22"/>
          <w:szCs w:val="22"/>
          <w:lang w:val="is-IS"/>
        </w:rPr>
      </w:pPr>
      <w:r w:rsidRPr="009E05F6">
        <w:rPr>
          <w:sz w:val="22"/>
          <w:szCs w:val="22"/>
          <w:lang w:val="is-IS"/>
        </w:rPr>
        <w:t>- Súkralósi</w:t>
      </w:r>
    </w:p>
    <w:p w14:paraId="560211A4" w14:textId="77777777" w:rsidR="004E5371" w:rsidRPr="009E05F6" w:rsidRDefault="004E5371" w:rsidP="004E5371">
      <w:pPr>
        <w:rPr>
          <w:sz w:val="22"/>
          <w:szCs w:val="22"/>
          <w:lang w:val="is-IS"/>
        </w:rPr>
      </w:pPr>
      <w:r w:rsidRPr="009E05F6">
        <w:rPr>
          <w:sz w:val="22"/>
          <w:szCs w:val="22"/>
          <w:lang w:val="is-IS"/>
        </w:rPr>
        <w:t>- Anís bragðefni</w:t>
      </w:r>
    </w:p>
    <w:p w14:paraId="286BB05F" w14:textId="77777777" w:rsidR="004E5371" w:rsidRPr="009E05F6" w:rsidRDefault="004E5371" w:rsidP="004E5371">
      <w:pPr>
        <w:rPr>
          <w:sz w:val="22"/>
          <w:szCs w:val="22"/>
          <w:lang w:val="is-IS"/>
        </w:rPr>
      </w:pPr>
      <w:r w:rsidRPr="009E05F6">
        <w:rPr>
          <w:sz w:val="22"/>
          <w:szCs w:val="22"/>
          <w:lang w:val="is-IS"/>
        </w:rPr>
        <w:t>- Hreinsað vatn</w:t>
      </w:r>
    </w:p>
    <w:p w14:paraId="465A06A7" w14:textId="77777777" w:rsidR="004E5371" w:rsidRPr="009E05F6" w:rsidRDefault="004E5371" w:rsidP="004E5371">
      <w:pPr>
        <w:rPr>
          <w:sz w:val="22"/>
          <w:szCs w:val="22"/>
          <w:lang w:val="is-IS"/>
        </w:rPr>
      </w:pPr>
    </w:p>
    <w:p w14:paraId="06BDFBDB" w14:textId="77777777" w:rsidR="004E5371" w:rsidRPr="009E05F6" w:rsidRDefault="004E5371" w:rsidP="004E5371">
      <w:pPr>
        <w:outlineLvl w:val="0"/>
        <w:rPr>
          <w:b/>
          <w:sz w:val="22"/>
          <w:szCs w:val="22"/>
          <w:lang w:val="is-IS"/>
        </w:rPr>
      </w:pPr>
      <w:r w:rsidRPr="009E05F6">
        <w:rPr>
          <w:b/>
          <w:sz w:val="22"/>
          <w:szCs w:val="22"/>
          <w:lang w:val="is-IS"/>
        </w:rPr>
        <w:t>6.2</w:t>
      </w:r>
      <w:r w:rsidRPr="009E05F6">
        <w:rPr>
          <w:b/>
          <w:sz w:val="22"/>
          <w:szCs w:val="22"/>
          <w:lang w:val="is-IS"/>
        </w:rPr>
        <w:tab/>
        <w:t>Ósamrýmanleiki</w:t>
      </w:r>
    </w:p>
    <w:p w14:paraId="4173A31A" w14:textId="77777777" w:rsidR="004E5371" w:rsidRPr="009E05F6" w:rsidRDefault="004E5371" w:rsidP="004E5371">
      <w:pPr>
        <w:rPr>
          <w:sz w:val="22"/>
          <w:szCs w:val="22"/>
          <w:lang w:val="is-IS"/>
        </w:rPr>
      </w:pPr>
    </w:p>
    <w:p w14:paraId="0C44EC2C" w14:textId="77777777" w:rsidR="004E5371" w:rsidRPr="009E05F6" w:rsidRDefault="004E5371" w:rsidP="004E5371">
      <w:pPr>
        <w:rPr>
          <w:sz w:val="22"/>
          <w:szCs w:val="22"/>
          <w:lang w:val="is-IS"/>
        </w:rPr>
      </w:pPr>
      <w:r w:rsidRPr="009E05F6">
        <w:rPr>
          <w:sz w:val="22"/>
          <w:szCs w:val="22"/>
          <w:lang w:val="is-IS"/>
        </w:rPr>
        <w:t>Enginn þekktur.</w:t>
      </w:r>
    </w:p>
    <w:p w14:paraId="4B2511A6" w14:textId="77777777" w:rsidR="004E5371" w:rsidRPr="009E05F6" w:rsidRDefault="004E5371" w:rsidP="004E5371">
      <w:pPr>
        <w:rPr>
          <w:sz w:val="22"/>
          <w:szCs w:val="22"/>
          <w:lang w:val="is-IS"/>
        </w:rPr>
      </w:pPr>
    </w:p>
    <w:p w14:paraId="6822F9F3" w14:textId="77777777" w:rsidR="004E5371" w:rsidRPr="009E05F6" w:rsidRDefault="004E5371" w:rsidP="004E5371">
      <w:pPr>
        <w:outlineLvl w:val="0"/>
        <w:rPr>
          <w:b/>
          <w:sz w:val="22"/>
          <w:szCs w:val="22"/>
          <w:lang w:val="is-IS"/>
        </w:rPr>
      </w:pPr>
      <w:r w:rsidRPr="009E05F6">
        <w:rPr>
          <w:b/>
          <w:sz w:val="22"/>
          <w:szCs w:val="22"/>
          <w:lang w:val="is-IS"/>
        </w:rPr>
        <w:t>6.3</w:t>
      </w:r>
      <w:r w:rsidRPr="009E05F6">
        <w:rPr>
          <w:b/>
          <w:sz w:val="22"/>
          <w:szCs w:val="22"/>
          <w:lang w:val="is-IS"/>
        </w:rPr>
        <w:tab/>
        <w:t>Geymsluþol</w:t>
      </w:r>
    </w:p>
    <w:p w14:paraId="20DBC7A8" w14:textId="77777777" w:rsidR="004E5371" w:rsidRPr="009E05F6" w:rsidRDefault="004E5371" w:rsidP="004E5371">
      <w:pPr>
        <w:rPr>
          <w:sz w:val="22"/>
          <w:szCs w:val="22"/>
          <w:lang w:val="is-IS"/>
        </w:rPr>
      </w:pPr>
    </w:p>
    <w:p w14:paraId="2A872C7C" w14:textId="77777777" w:rsidR="004E5371" w:rsidRPr="009E05F6" w:rsidRDefault="004E5371" w:rsidP="004E5371">
      <w:pPr>
        <w:rPr>
          <w:sz w:val="22"/>
          <w:szCs w:val="22"/>
          <w:lang w:val="is-IS"/>
        </w:rPr>
      </w:pPr>
      <w:r w:rsidRPr="009E05F6">
        <w:rPr>
          <w:sz w:val="22"/>
          <w:szCs w:val="22"/>
          <w:lang w:val="is-IS"/>
        </w:rPr>
        <w:t>Geymsluþol dýralyfsins í söluumbúðum: 3 ár.</w:t>
      </w:r>
    </w:p>
    <w:p w14:paraId="1EC24A38" w14:textId="77777777" w:rsidR="004E5371" w:rsidRPr="009E05F6" w:rsidRDefault="004E5371" w:rsidP="004E5371">
      <w:pPr>
        <w:rPr>
          <w:sz w:val="22"/>
          <w:szCs w:val="22"/>
          <w:lang w:val="is-IS"/>
        </w:rPr>
      </w:pPr>
      <w:r w:rsidRPr="009E05F6">
        <w:rPr>
          <w:sz w:val="22"/>
          <w:szCs w:val="22"/>
          <w:lang w:val="is-IS"/>
        </w:rPr>
        <w:t>Geymsluþol eftir að innri umbúðir hafa verið rofnar: 6 mánuðir.</w:t>
      </w:r>
    </w:p>
    <w:p w14:paraId="1EA61086" w14:textId="77777777" w:rsidR="004E5371" w:rsidRPr="009E05F6" w:rsidRDefault="004E5371" w:rsidP="004E5371">
      <w:pPr>
        <w:rPr>
          <w:sz w:val="22"/>
          <w:szCs w:val="22"/>
          <w:lang w:val="is-IS"/>
        </w:rPr>
      </w:pPr>
    </w:p>
    <w:p w14:paraId="63D4B7C6" w14:textId="77777777" w:rsidR="004E5371" w:rsidRPr="009E05F6" w:rsidRDefault="004E5371" w:rsidP="004E5371">
      <w:pPr>
        <w:pStyle w:val="BodyText2"/>
        <w:outlineLvl w:val="0"/>
        <w:rPr>
          <w:szCs w:val="22"/>
          <w:lang w:val="is-IS"/>
        </w:rPr>
      </w:pPr>
      <w:r w:rsidRPr="009E05F6">
        <w:rPr>
          <w:szCs w:val="22"/>
          <w:lang w:val="is-IS"/>
        </w:rPr>
        <w:t>6.4</w:t>
      </w:r>
      <w:r w:rsidRPr="009E05F6">
        <w:rPr>
          <w:szCs w:val="22"/>
          <w:lang w:val="is-IS"/>
        </w:rPr>
        <w:tab/>
        <w:t>Sérstakar varúðarreglur við geymslu</w:t>
      </w:r>
    </w:p>
    <w:p w14:paraId="729B11A0" w14:textId="77777777" w:rsidR="004E5371" w:rsidRPr="009E05F6" w:rsidRDefault="004E5371" w:rsidP="004E5371">
      <w:pPr>
        <w:rPr>
          <w:sz w:val="22"/>
          <w:szCs w:val="22"/>
          <w:lang w:val="is-IS"/>
        </w:rPr>
      </w:pPr>
    </w:p>
    <w:p w14:paraId="42001A24" w14:textId="77777777" w:rsidR="004E5371" w:rsidRPr="009E05F6" w:rsidRDefault="004E5371" w:rsidP="004E5371">
      <w:pPr>
        <w:rPr>
          <w:sz w:val="22"/>
          <w:szCs w:val="22"/>
          <w:lang w:val="is-IS"/>
        </w:rPr>
      </w:pPr>
      <w:r w:rsidRPr="009E05F6">
        <w:rPr>
          <w:sz w:val="22"/>
          <w:szCs w:val="22"/>
          <w:lang w:val="is-IS"/>
        </w:rPr>
        <w:t>Engin sérstök fyrirmæli eru um geymsluaðstæður dýralyfsins.</w:t>
      </w:r>
    </w:p>
    <w:p w14:paraId="18F7AA07" w14:textId="77777777" w:rsidR="004E5371" w:rsidRPr="009E05F6" w:rsidRDefault="004E5371" w:rsidP="004E5371">
      <w:pPr>
        <w:rPr>
          <w:sz w:val="22"/>
          <w:szCs w:val="22"/>
          <w:lang w:val="is-IS"/>
        </w:rPr>
      </w:pPr>
    </w:p>
    <w:p w14:paraId="704284F0" w14:textId="77777777" w:rsidR="004E5371" w:rsidRPr="009E05F6" w:rsidRDefault="004E5371" w:rsidP="004E5371">
      <w:pPr>
        <w:pStyle w:val="BodyText2"/>
        <w:outlineLvl w:val="0"/>
        <w:rPr>
          <w:szCs w:val="22"/>
          <w:lang w:val="is-IS"/>
        </w:rPr>
      </w:pPr>
      <w:r w:rsidRPr="009E05F6">
        <w:rPr>
          <w:szCs w:val="22"/>
          <w:lang w:val="is-IS"/>
        </w:rPr>
        <w:t>6.5</w:t>
      </w:r>
      <w:r w:rsidRPr="009E05F6">
        <w:rPr>
          <w:szCs w:val="22"/>
          <w:lang w:val="is-IS"/>
        </w:rPr>
        <w:tab/>
        <w:t>Gerð og samsetning innri umbúða</w:t>
      </w:r>
    </w:p>
    <w:p w14:paraId="42F2E672" w14:textId="77777777" w:rsidR="004E5371" w:rsidRPr="009E05F6" w:rsidRDefault="004E5371" w:rsidP="004E5371">
      <w:pPr>
        <w:rPr>
          <w:sz w:val="22"/>
          <w:szCs w:val="22"/>
          <w:lang w:val="is-IS"/>
        </w:rPr>
      </w:pPr>
    </w:p>
    <w:p w14:paraId="7B7F759B" w14:textId="77777777" w:rsidR="004E5371" w:rsidRPr="009E05F6" w:rsidRDefault="004E5371" w:rsidP="004E5371">
      <w:pPr>
        <w:rPr>
          <w:sz w:val="22"/>
          <w:szCs w:val="22"/>
          <w:lang w:val="is-IS"/>
        </w:rPr>
      </w:pPr>
      <w:r>
        <w:rPr>
          <w:sz w:val="22"/>
          <w:szCs w:val="22"/>
          <w:lang w:val="is-IS"/>
        </w:rPr>
        <w:t>Glas</w:t>
      </w:r>
      <w:r w:rsidRPr="009E05F6">
        <w:rPr>
          <w:sz w:val="22"/>
          <w:szCs w:val="22"/>
          <w:lang w:val="is-IS"/>
        </w:rPr>
        <w:t xml:space="preserve"> úr polyethyleni sem inniheldur </w:t>
      </w:r>
      <w:r>
        <w:rPr>
          <w:sz w:val="22"/>
          <w:szCs w:val="22"/>
          <w:lang w:val="is-IS"/>
        </w:rPr>
        <w:t xml:space="preserve">5 ml, 10 ml </w:t>
      </w:r>
      <w:r w:rsidRPr="009E05F6">
        <w:rPr>
          <w:sz w:val="22"/>
          <w:szCs w:val="22"/>
          <w:lang w:val="is-IS"/>
        </w:rPr>
        <w:t>eða 25 ml, með barnaöryggis</w:t>
      </w:r>
      <w:r w:rsidRPr="009E05F6">
        <w:rPr>
          <w:sz w:val="22"/>
          <w:szCs w:val="22"/>
          <w:lang w:val="is-IS"/>
        </w:rPr>
        <w:softHyphen/>
        <w:t>loki og öryggisinnsigli og mælisprauta úr polypropyleni.</w:t>
      </w:r>
    </w:p>
    <w:p w14:paraId="63CFC579" w14:textId="77777777" w:rsidR="004E5371" w:rsidRPr="009E05F6" w:rsidRDefault="004E5371" w:rsidP="004E5371">
      <w:pPr>
        <w:rPr>
          <w:sz w:val="22"/>
          <w:szCs w:val="22"/>
          <w:lang w:val="is-IS"/>
        </w:rPr>
      </w:pPr>
      <w:r w:rsidRPr="009E05F6">
        <w:rPr>
          <w:sz w:val="22"/>
          <w:szCs w:val="22"/>
          <w:lang w:val="is-IS"/>
        </w:rPr>
        <w:t>Ekki er víst að allar pakkningastærðir séu markaðssettar.</w:t>
      </w:r>
    </w:p>
    <w:p w14:paraId="34D7B110" w14:textId="77777777" w:rsidR="004E5371" w:rsidRPr="009E05F6" w:rsidRDefault="004E5371" w:rsidP="004E5371">
      <w:pPr>
        <w:rPr>
          <w:sz w:val="22"/>
          <w:szCs w:val="22"/>
          <w:lang w:val="is-IS"/>
        </w:rPr>
      </w:pPr>
    </w:p>
    <w:p w14:paraId="51B08130" w14:textId="77777777" w:rsidR="004E5371" w:rsidRPr="009E05F6" w:rsidRDefault="004E5371" w:rsidP="004E5371">
      <w:pPr>
        <w:ind w:left="567" w:hanging="567"/>
        <w:outlineLvl w:val="0"/>
        <w:rPr>
          <w:b/>
          <w:sz w:val="22"/>
          <w:szCs w:val="22"/>
          <w:lang w:val="is-IS"/>
        </w:rPr>
      </w:pPr>
      <w:r w:rsidRPr="009E05F6">
        <w:rPr>
          <w:b/>
          <w:sz w:val="22"/>
          <w:szCs w:val="22"/>
          <w:lang w:val="is-IS"/>
        </w:rPr>
        <w:t>6.6</w:t>
      </w:r>
      <w:r w:rsidRPr="009E05F6">
        <w:rPr>
          <w:b/>
          <w:sz w:val="22"/>
          <w:szCs w:val="22"/>
          <w:lang w:val="is-IS"/>
        </w:rPr>
        <w:tab/>
        <w:t>Sérstakar varúðarreglur vegna förgunar ónotaðra dýralyfja eða úrgangs sem til fellur við notkun þeirra</w:t>
      </w:r>
    </w:p>
    <w:p w14:paraId="7B58E820" w14:textId="77777777" w:rsidR="004E5371" w:rsidRPr="009E05F6" w:rsidRDefault="004E5371" w:rsidP="004E5371">
      <w:pPr>
        <w:rPr>
          <w:sz w:val="22"/>
          <w:szCs w:val="22"/>
          <w:lang w:val="is-IS"/>
        </w:rPr>
      </w:pPr>
    </w:p>
    <w:p w14:paraId="1CCDFDBA" w14:textId="77777777" w:rsidR="004E5371" w:rsidRPr="009E05F6" w:rsidRDefault="004E5371" w:rsidP="004E5371">
      <w:pPr>
        <w:rPr>
          <w:sz w:val="22"/>
          <w:szCs w:val="22"/>
          <w:lang w:val="is-IS"/>
        </w:rPr>
      </w:pPr>
      <w:r w:rsidRPr="009E05F6">
        <w:rPr>
          <w:sz w:val="22"/>
          <w:szCs w:val="22"/>
          <w:lang w:val="is-IS"/>
        </w:rPr>
        <w:t>Farga skal ónotuðu dýralyf</w:t>
      </w:r>
      <w:r>
        <w:rPr>
          <w:sz w:val="22"/>
          <w:szCs w:val="22"/>
          <w:lang w:val="is-IS"/>
        </w:rPr>
        <w:t>i</w:t>
      </w:r>
      <w:r w:rsidRPr="009E05F6">
        <w:rPr>
          <w:sz w:val="22"/>
          <w:szCs w:val="22"/>
          <w:lang w:val="is-IS"/>
        </w:rPr>
        <w:t xml:space="preserve"> eða úrgangi vegna dýralyf</w:t>
      </w:r>
      <w:r>
        <w:rPr>
          <w:sz w:val="22"/>
          <w:szCs w:val="22"/>
          <w:lang w:val="is-IS"/>
        </w:rPr>
        <w:t>s</w:t>
      </w:r>
      <w:r w:rsidRPr="009E05F6">
        <w:rPr>
          <w:sz w:val="22"/>
          <w:szCs w:val="22"/>
          <w:lang w:val="is-IS"/>
        </w:rPr>
        <w:t xml:space="preserve"> í samræmi við gildandi reglur.</w:t>
      </w:r>
    </w:p>
    <w:p w14:paraId="258B83D7" w14:textId="77777777" w:rsidR="004E5371" w:rsidRPr="009E05F6" w:rsidRDefault="004E5371" w:rsidP="004E5371">
      <w:pPr>
        <w:rPr>
          <w:sz w:val="22"/>
          <w:szCs w:val="22"/>
          <w:lang w:val="is-IS"/>
        </w:rPr>
      </w:pPr>
    </w:p>
    <w:p w14:paraId="744D9C94" w14:textId="77777777" w:rsidR="004E5371" w:rsidRPr="009E05F6" w:rsidRDefault="004E5371" w:rsidP="004E5371">
      <w:pPr>
        <w:rPr>
          <w:sz w:val="22"/>
          <w:szCs w:val="22"/>
          <w:lang w:val="is-IS"/>
        </w:rPr>
      </w:pPr>
    </w:p>
    <w:p w14:paraId="607CD2EC" w14:textId="77777777" w:rsidR="004E5371" w:rsidRPr="009E05F6" w:rsidRDefault="004E5371" w:rsidP="004E5371">
      <w:pPr>
        <w:pStyle w:val="BodyText2"/>
        <w:outlineLvl w:val="0"/>
        <w:rPr>
          <w:szCs w:val="22"/>
          <w:lang w:val="is-IS"/>
        </w:rPr>
      </w:pPr>
      <w:r w:rsidRPr="009E05F6">
        <w:rPr>
          <w:szCs w:val="22"/>
          <w:lang w:val="is-IS"/>
        </w:rPr>
        <w:t>7.</w:t>
      </w:r>
      <w:r w:rsidRPr="009E05F6">
        <w:rPr>
          <w:szCs w:val="22"/>
          <w:lang w:val="is-IS"/>
        </w:rPr>
        <w:tab/>
        <w:t>MARKAÐSLEYFISHAFI</w:t>
      </w:r>
    </w:p>
    <w:p w14:paraId="2FB49D00" w14:textId="77777777" w:rsidR="004E5371" w:rsidRPr="009E05F6" w:rsidRDefault="004E5371" w:rsidP="004E5371">
      <w:pPr>
        <w:rPr>
          <w:sz w:val="22"/>
          <w:szCs w:val="22"/>
          <w:lang w:val="is-IS"/>
        </w:rPr>
      </w:pPr>
    </w:p>
    <w:p w14:paraId="3EF7C6BE" w14:textId="77777777" w:rsidR="004E5371" w:rsidRPr="009E05F6" w:rsidRDefault="004E5371" w:rsidP="004E5371">
      <w:pPr>
        <w:rPr>
          <w:sz w:val="22"/>
          <w:szCs w:val="22"/>
          <w:lang w:val="is-IS"/>
        </w:rPr>
      </w:pPr>
      <w:r w:rsidRPr="009E05F6">
        <w:rPr>
          <w:sz w:val="22"/>
          <w:szCs w:val="22"/>
          <w:lang w:val="is-IS"/>
        </w:rPr>
        <w:t>Le Vet B.V.</w:t>
      </w:r>
    </w:p>
    <w:p w14:paraId="42903446" w14:textId="77777777" w:rsidR="004E5371" w:rsidRPr="009E05F6" w:rsidRDefault="004E5371" w:rsidP="004E5371">
      <w:pPr>
        <w:rPr>
          <w:sz w:val="22"/>
          <w:szCs w:val="22"/>
          <w:lang w:val="is-IS"/>
        </w:rPr>
      </w:pPr>
      <w:r w:rsidRPr="009E05F6">
        <w:rPr>
          <w:sz w:val="22"/>
          <w:szCs w:val="22"/>
          <w:lang w:val="is-IS"/>
        </w:rPr>
        <w:t>Wilgenweg 7</w:t>
      </w:r>
    </w:p>
    <w:p w14:paraId="313245AF" w14:textId="77777777" w:rsidR="004E5371" w:rsidRPr="009E05F6" w:rsidRDefault="004E5371" w:rsidP="004E5371">
      <w:pPr>
        <w:rPr>
          <w:sz w:val="22"/>
          <w:szCs w:val="22"/>
          <w:lang w:val="is-IS"/>
        </w:rPr>
      </w:pPr>
      <w:r w:rsidRPr="009E05F6">
        <w:rPr>
          <w:sz w:val="22"/>
          <w:szCs w:val="22"/>
          <w:lang w:val="is-IS"/>
        </w:rPr>
        <w:t>3421 TV Oudewater</w:t>
      </w:r>
    </w:p>
    <w:p w14:paraId="70A825C2" w14:textId="77777777" w:rsidR="004E5371" w:rsidRPr="009E05F6" w:rsidRDefault="004E5371" w:rsidP="004E5371">
      <w:pPr>
        <w:rPr>
          <w:sz w:val="22"/>
          <w:szCs w:val="22"/>
          <w:lang w:val="is-IS"/>
        </w:rPr>
      </w:pPr>
      <w:r w:rsidRPr="009E05F6">
        <w:rPr>
          <w:sz w:val="22"/>
          <w:szCs w:val="22"/>
          <w:lang w:val="is-IS"/>
        </w:rPr>
        <w:t>Holland</w:t>
      </w:r>
    </w:p>
    <w:p w14:paraId="7DBD85D9" w14:textId="77777777" w:rsidR="004E5371" w:rsidRPr="009E05F6" w:rsidRDefault="004E5371" w:rsidP="004E5371">
      <w:pPr>
        <w:rPr>
          <w:sz w:val="22"/>
          <w:szCs w:val="22"/>
          <w:lang w:val="is-IS"/>
        </w:rPr>
      </w:pPr>
    </w:p>
    <w:p w14:paraId="6AC4D821" w14:textId="77777777" w:rsidR="004E5371" w:rsidRPr="009E05F6" w:rsidRDefault="004E5371" w:rsidP="004E5371">
      <w:pPr>
        <w:pStyle w:val="EndnoteText"/>
        <w:tabs>
          <w:tab w:val="clear" w:pos="567"/>
        </w:tabs>
        <w:rPr>
          <w:szCs w:val="22"/>
          <w:lang w:val="is-IS"/>
        </w:rPr>
      </w:pPr>
    </w:p>
    <w:p w14:paraId="1CA46566" w14:textId="77777777" w:rsidR="004E5371" w:rsidRPr="009E05F6" w:rsidRDefault="004E5371" w:rsidP="004E5371">
      <w:pPr>
        <w:pStyle w:val="BodyText2"/>
        <w:outlineLvl w:val="0"/>
        <w:rPr>
          <w:caps/>
          <w:szCs w:val="22"/>
          <w:lang w:val="is-IS"/>
        </w:rPr>
      </w:pPr>
      <w:r w:rsidRPr="009E05F6">
        <w:rPr>
          <w:caps/>
          <w:szCs w:val="22"/>
          <w:lang w:val="is-IS"/>
        </w:rPr>
        <w:t>8.</w:t>
      </w:r>
      <w:r w:rsidRPr="009E05F6">
        <w:rPr>
          <w:caps/>
          <w:szCs w:val="22"/>
          <w:lang w:val="is-IS"/>
        </w:rPr>
        <w:tab/>
        <w:t>Markaðsleyfisnúmer</w:t>
      </w:r>
    </w:p>
    <w:p w14:paraId="69D2B3D2" w14:textId="77777777" w:rsidR="004E5371" w:rsidRPr="009E05F6" w:rsidRDefault="004E5371" w:rsidP="004E5371">
      <w:pPr>
        <w:rPr>
          <w:sz w:val="22"/>
          <w:szCs w:val="22"/>
          <w:lang w:val="is-IS"/>
        </w:rPr>
      </w:pPr>
    </w:p>
    <w:p w14:paraId="53498137" w14:textId="77777777" w:rsidR="004E5371" w:rsidRDefault="004E5371" w:rsidP="004E5371">
      <w:pPr>
        <w:rPr>
          <w:rFonts w:eastAsia="SimSun"/>
          <w:sz w:val="22"/>
          <w:szCs w:val="22"/>
          <w:highlight w:val="lightGray"/>
          <w:lang w:val="is-IS" w:eastAsia="zh-CN"/>
        </w:rPr>
      </w:pPr>
      <w:r>
        <w:rPr>
          <w:rFonts w:eastAsia="SimSun"/>
          <w:sz w:val="22"/>
          <w:szCs w:val="22"/>
          <w:highlight w:val="lightGray"/>
          <w:lang w:val="is-IS" w:eastAsia="zh-CN"/>
        </w:rPr>
        <w:t>EU/2/10/111/007 5 ml</w:t>
      </w:r>
    </w:p>
    <w:p w14:paraId="45EEF379" w14:textId="77777777" w:rsidR="004E5371" w:rsidRDefault="004E5371" w:rsidP="004E5371">
      <w:pPr>
        <w:rPr>
          <w:rFonts w:eastAsia="SimSun"/>
          <w:sz w:val="22"/>
          <w:szCs w:val="22"/>
          <w:highlight w:val="lightGray"/>
          <w:lang w:val="is-IS" w:eastAsia="zh-CN"/>
        </w:rPr>
      </w:pPr>
      <w:r>
        <w:rPr>
          <w:rFonts w:eastAsia="SimSun"/>
          <w:sz w:val="22"/>
          <w:szCs w:val="22"/>
          <w:highlight w:val="lightGray"/>
          <w:lang w:val="is-IS" w:eastAsia="zh-CN"/>
        </w:rPr>
        <w:t>EU/2/10/111/006 10 ml</w:t>
      </w:r>
    </w:p>
    <w:p w14:paraId="7AFF3049" w14:textId="77777777" w:rsidR="004E5371" w:rsidRPr="00A80A33" w:rsidRDefault="004E5371" w:rsidP="004E5371">
      <w:pPr>
        <w:rPr>
          <w:rFonts w:eastAsia="SimSun"/>
          <w:sz w:val="22"/>
          <w:szCs w:val="22"/>
          <w:lang w:val="is-IS" w:eastAsia="zh-CN"/>
        </w:rPr>
      </w:pPr>
      <w:r w:rsidRPr="00A80A33">
        <w:rPr>
          <w:rFonts w:eastAsia="SimSun"/>
          <w:sz w:val="22"/>
          <w:szCs w:val="22"/>
          <w:highlight w:val="lightGray"/>
          <w:lang w:val="is-IS" w:eastAsia="zh-CN"/>
        </w:rPr>
        <w:t>EU/2/10/111/004 2</w:t>
      </w:r>
      <w:r w:rsidRPr="009E05F6">
        <w:rPr>
          <w:rFonts w:eastAsia="SimSun"/>
          <w:sz w:val="22"/>
          <w:szCs w:val="22"/>
          <w:highlight w:val="lightGray"/>
          <w:lang w:val="bg-BG" w:eastAsia="zh-CN"/>
        </w:rPr>
        <w:t xml:space="preserve">5 </w:t>
      </w:r>
      <w:r w:rsidRPr="00A80A33">
        <w:rPr>
          <w:rFonts w:eastAsia="SimSun"/>
          <w:sz w:val="22"/>
          <w:szCs w:val="22"/>
          <w:highlight w:val="lightGray"/>
          <w:lang w:val="is-IS" w:eastAsia="zh-CN"/>
        </w:rPr>
        <w:t>ml</w:t>
      </w:r>
    </w:p>
    <w:p w14:paraId="2AEC5DBA" w14:textId="77777777" w:rsidR="004E5371" w:rsidRPr="00A80A33" w:rsidRDefault="004E5371" w:rsidP="004E5371">
      <w:pPr>
        <w:rPr>
          <w:rFonts w:eastAsia="SimSun"/>
          <w:sz w:val="22"/>
          <w:szCs w:val="22"/>
          <w:lang w:val="is-IS" w:eastAsia="zh-CN"/>
        </w:rPr>
      </w:pPr>
    </w:p>
    <w:p w14:paraId="48D47020" w14:textId="77777777" w:rsidR="004E5371" w:rsidRPr="009E05F6" w:rsidRDefault="004E5371" w:rsidP="004E5371">
      <w:pPr>
        <w:rPr>
          <w:sz w:val="22"/>
          <w:szCs w:val="22"/>
          <w:lang w:val="is-IS"/>
        </w:rPr>
      </w:pPr>
    </w:p>
    <w:p w14:paraId="18DE6760" w14:textId="77777777" w:rsidR="004E5371" w:rsidRPr="009E05F6" w:rsidRDefault="004E5371" w:rsidP="004E5371">
      <w:pPr>
        <w:pStyle w:val="BodyText2"/>
        <w:outlineLvl w:val="0"/>
        <w:rPr>
          <w:caps/>
          <w:szCs w:val="22"/>
          <w:lang w:val="is-IS"/>
        </w:rPr>
      </w:pPr>
      <w:r w:rsidRPr="009E05F6">
        <w:rPr>
          <w:caps/>
          <w:szCs w:val="22"/>
          <w:lang w:val="is-IS"/>
        </w:rPr>
        <w:t>9.</w:t>
      </w:r>
      <w:r w:rsidRPr="009E05F6">
        <w:rPr>
          <w:caps/>
          <w:szCs w:val="22"/>
          <w:lang w:val="is-IS"/>
        </w:rPr>
        <w:tab/>
        <w:t>Dagsetning fyrstu útgáfu markaðsleyfis/endurnýjunar markaðsleyfis</w:t>
      </w:r>
    </w:p>
    <w:p w14:paraId="273088FF" w14:textId="77777777" w:rsidR="004E5371" w:rsidRPr="009E05F6" w:rsidRDefault="004E5371" w:rsidP="004E5371">
      <w:pPr>
        <w:rPr>
          <w:sz w:val="22"/>
          <w:szCs w:val="22"/>
          <w:lang w:val="is-IS"/>
        </w:rPr>
      </w:pPr>
    </w:p>
    <w:p w14:paraId="0C045E2E" w14:textId="77777777" w:rsidR="004E5371" w:rsidRPr="009E05F6" w:rsidRDefault="004E5371" w:rsidP="004E5371">
      <w:pPr>
        <w:tabs>
          <w:tab w:val="left" w:pos="720"/>
        </w:tabs>
        <w:rPr>
          <w:sz w:val="22"/>
          <w:szCs w:val="22"/>
          <w:lang w:val="es-ES"/>
        </w:rPr>
      </w:pPr>
      <w:r w:rsidRPr="009B179C">
        <w:rPr>
          <w:sz w:val="22"/>
          <w:szCs w:val="22"/>
          <w:lang w:val="is-IS"/>
        </w:rPr>
        <w:t xml:space="preserve">Dagsetning fyrstu útgáfu markaðsleyfis: </w:t>
      </w:r>
      <w:r w:rsidRPr="009E05F6">
        <w:rPr>
          <w:sz w:val="22"/>
          <w:szCs w:val="22"/>
          <w:lang w:val="es-ES"/>
        </w:rPr>
        <w:t>19/11/2010</w:t>
      </w:r>
      <w:r>
        <w:rPr>
          <w:sz w:val="22"/>
          <w:szCs w:val="22"/>
          <w:lang w:val="es-ES"/>
        </w:rPr>
        <w:t>.</w:t>
      </w:r>
    </w:p>
    <w:p w14:paraId="1E9DBF63" w14:textId="77777777" w:rsidR="004E5371" w:rsidRDefault="004E5371" w:rsidP="004E5371">
      <w:pPr>
        <w:pStyle w:val="EndnoteText"/>
        <w:tabs>
          <w:tab w:val="clear" w:pos="567"/>
        </w:tabs>
        <w:rPr>
          <w:szCs w:val="22"/>
          <w:lang w:val="is-IS"/>
        </w:rPr>
      </w:pPr>
      <w:r w:rsidRPr="009B179C">
        <w:rPr>
          <w:szCs w:val="22"/>
          <w:lang w:val="is-IS"/>
        </w:rPr>
        <w:t>Nýjasta dagsetning endurnýjunar markaðsleyfis:</w:t>
      </w:r>
    </w:p>
    <w:p w14:paraId="24C4070B" w14:textId="77777777" w:rsidR="00EE3218" w:rsidRDefault="004E5371"/>
    <w:sectPr w:rsidR="00EE3218" w:rsidSect="003869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1"/>
    <w:rsid w:val="000353FC"/>
    <w:rsid w:val="003869CB"/>
    <w:rsid w:val="004E5371"/>
    <w:rsid w:val="006C0A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1D4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371"/>
    <w:rPr>
      <w:rFonts w:ascii="Times New Roman" w:eastAsia="Times New Roman" w:hAnsi="Times New Roman" w:cs="Times New Roman"/>
      <w:sz w:val="20"/>
      <w:szCs w:val="20"/>
      <w:lang w:val="en-AU"/>
    </w:rPr>
  </w:style>
  <w:style w:type="paragraph" w:styleId="Heading2">
    <w:name w:val="heading 2"/>
    <w:basedOn w:val="Normal"/>
    <w:next w:val="Normal"/>
    <w:link w:val="Heading2Char"/>
    <w:uiPriority w:val="9"/>
    <w:semiHidden/>
    <w:unhideWhenUsed/>
    <w:qFormat/>
    <w:rsid w:val="004E53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E5371"/>
    <w:pPr>
      <w:keepNext/>
      <w:tabs>
        <w:tab w:val="left" w:pos="-720"/>
        <w:tab w:val="left" w:pos="4536"/>
      </w:tabs>
      <w:suppressAutoHyphens/>
      <w:outlineLvl w:val="2"/>
    </w:pPr>
    <w:rPr>
      <w:b/>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5371"/>
    <w:rPr>
      <w:rFonts w:ascii="Times New Roman" w:eastAsia="Times New Roman" w:hAnsi="Times New Roman" w:cs="Times New Roman"/>
      <w:b/>
      <w:sz w:val="22"/>
      <w:szCs w:val="20"/>
      <w:lang w:val="es-ES"/>
    </w:rPr>
  </w:style>
  <w:style w:type="paragraph" w:styleId="BodyText2">
    <w:name w:val="Body Text 2"/>
    <w:basedOn w:val="Normal"/>
    <w:link w:val="BodyText2Char"/>
    <w:rsid w:val="004E5371"/>
    <w:pPr>
      <w:tabs>
        <w:tab w:val="left" w:pos="567"/>
      </w:tabs>
      <w:ind w:left="567" w:hanging="567"/>
    </w:pPr>
    <w:rPr>
      <w:b/>
      <w:sz w:val="22"/>
      <w:lang w:val="en-GB"/>
    </w:rPr>
  </w:style>
  <w:style w:type="character" w:customStyle="1" w:styleId="BodyText2Char">
    <w:name w:val="Body Text 2 Char"/>
    <w:basedOn w:val="DefaultParagraphFont"/>
    <w:link w:val="BodyText2"/>
    <w:rsid w:val="004E5371"/>
    <w:rPr>
      <w:rFonts w:ascii="Times New Roman" w:eastAsia="Times New Roman" w:hAnsi="Times New Roman" w:cs="Times New Roman"/>
      <w:b/>
      <w:sz w:val="22"/>
      <w:szCs w:val="20"/>
      <w:lang w:val="en-GB"/>
    </w:rPr>
  </w:style>
  <w:style w:type="paragraph" w:styleId="EndnoteText">
    <w:name w:val="endnote text"/>
    <w:basedOn w:val="Normal"/>
    <w:link w:val="EndnoteTextChar"/>
    <w:semiHidden/>
    <w:rsid w:val="004E5371"/>
    <w:pPr>
      <w:tabs>
        <w:tab w:val="left" w:pos="567"/>
      </w:tabs>
    </w:pPr>
    <w:rPr>
      <w:sz w:val="22"/>
      <w:lang w:val="en-GB"/>
    </w:rPr>
  </w:style>
  <w:style w:type="character" w:customStyle="1" w:styleId="EndnoteTextChar">
    <w:name w:val="Endnote Text Char"/>
    <w:basedOn w:val="DefaultParagraphFont"/>
    <w:link w:val="EndnoteText"/>
    <w:semiHidden/>
    <w:rsid w:val="004E5371"/>
    <w:rPr>
      <w:rFonts w:ascii="Times New Roman" w:eastAsia="Times New Roman" w:hAnsi="Times New Roman" w:cs="Times New Roman"/>
      <w:sz w:val="22"/>
      <w:szCs w:val="20"/>
      <w:lang w:val="en-GB"/>
    </w:rPr>
  </w:style>
  <w:style w:type="character" w:customStyle="1" w:styleId="Heading2Char">
    <w:name w:val="Heading 2 Char"/>
    <w:basedOn w:val="DefaultParagraphFont"/>
    <w:link w:val="Heading2"/>
    <w:uiPriority w:val="9"/>
    <w:semiHidden/>
    <w:rsid w:val="004E5371"/>
    <w:rPr>
      <w:rFonts w:asciiTheme="majorHAnsi" w:eastAsiaTheme="majorEastAsia" w:hAnsiTheme="majorHAnsi" w:cstheme="majorBidi"/>
      <w:color w:val="2F5496" w:themeColor="accent1" w:themeShade="BF"/>
      <w:sz w:val="26"/>
      <w:szCs w:val="26"/>
      <w:lang w:val="en-AU"/>
    </w:rPr>
  </w:style>
  <w:style w:type="paragraph" w:styleId="BodyTextIndent">
    <w:name w:val="Body Text Indent"/>
    <w:basedOn w:val="Normal"/>
    <w:link w:val="BodyTextIndentChar"/>
    <w:uiPriority w:val="99"/>
    <w:semiHidden/>
    <w:unhideWhenUsed/>
    <w:rsid w:val="004E5371"/>
    <w:pPr>
      <w:spacing w:after="120"/>
      <w:ind w:left="283"/>
    </w:pPr>
  </w:style>
  <w:style w:type="character" w:customStyle="1" w:styleId="BodyTextIndentChar">
    <w:name w:val="Body Text Indent Char"/>
    <w:basedOn w:val="DefaultParagraphFont"/>
    <w:link w:val="BodyTextIndent"/>
    <w:uiPriority w:val="99"/>
    <w:semiHidden/>
    <w:rsid w:val="004E5371"/>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6626</Characters>
  <Application>Microsoft Macintosh Word</Application>
  <DocSecurity>0</DocSecurity>
  <Lines>55</Lines>
  <Paragraphs>15</Paragraphs>
  <ScaleCrop>false</ScaleCrop>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Líney Emma Jónsdóttir</dc:creator>
  <cp:keywords/>
  <dc:description/>
  <cp:lastModifiedBy>Líney Emma Jónsdóttir</cp:lastModifiedBy>
  <cp:revision>1</cp:revision>
  <dcterms:created xsi:type="dcterms:W3CDTF">2016-12-01T12:27:00Z</dcterms:created>
  <dcterms:modified xsi:type="dcterms:W3CDTF">2016-12-01T12:29:00Z</dcterms:modified>
</cp:coreProperties>
</file>